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0669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463DB76">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F65F424">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93.080.01</w:t>
            </w:r>
            <w:r>
              <w:rPr>
                <w:rFonts w:ascii="黑体" w:hAnsi="黑体" w:eastAsia="黑体"/>
                <w:sz w:val="21"/>
                <w:szCs w:val="21"/>
              </w:rPr>
              <w:fldChar w:fldCharType="end"/>
            </w:r>
            <w:bookmarkEnd w:id="0"/>
          </w:p>
        </w:tc>
      </w:tr>
      <w:tr w14:paraId="35D64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4F361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F45834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66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38AA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1919CB7">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5DD42664">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E567FA6">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0509F7D">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6F0DB4">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881B7A1">
      <w:pPr>
        <w:pStyle w:val="51"/>
        <w:framePr w:w="9639" w:h="6976" w:hRule="exact" w:hSpace="0" w:vSpace="0" w:wrap="around" w:hAnchor="page" w:y="6408"/>
        <w:jc w:val="center"/>
        <w:rPr>
          <w:rFonts w:hint="eastAsia" w:ascii="黑体" w:hAnsi="黑体" w:eastAsia="黑体"/>
          <w:b w:val="0"/>
          <w:bCs w:val="0"/>
          <w:w w:val="100"/>
        </w:rPr>
      </w:pPr>
    </w:p>
    <w:p w14:paraId="455429B0">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 公路沥青路面施工均匀性检测 红外热像仪法和三维探地雷达法</w:t>
      </w:r>
    </w:p>
    <w:p w14:paraId="24493E70">
      <w:pPr>
        <w:pStyle w:val="198"/>
        <w:framePr w:h="6974" w:hRule="exact" w:wrap="around" w:x="1419" w:anchorLock="1"/>
        <w:rPr>
          <w:rFonts w:hint="eastAsia"/>
        </w:rPr>
      </w:pPr>
      <w:r>
        <w:rPr>
          <w:rFonts w:hint="eastAsia"/>
        </w:rPr>
        <w:t>（</w:t>
      </w:r>
      <w:r>
        <w:rPr>
          <w:rFonts w:hint="eastAsia"/>
          <w:lang w:eastAsia="zh-CN"/>
        </w:rPr>
        <w:t>报批</w:t>
      </w:r>
      <w:r>
        <w:rPr>
          <w:rFonts w:hint="eastAsia"/>
        </w:rPr>
        <w:t>稿）</w:t>
      </w:r>
      <w:r>
        <w:fldChar w:fldCharType="end"/>
      </w:r>
      <w:bookmarkEnd w:id="9"/>
    </w:p>
    <w:p w14:paraId="1CCF9A34">
      <w:pPr>
        <w:framePr w:w="9639" w:h="6974" w:hRule="exact" w:wrap="around" w:vAnchor="page" w:hAnchor="page" w:x="1419" w:y="6408" w:anchorLock="1"/>
        <w:ind w:left="-1418"/>
      </w:pPr>
    </w:p>
    <w:p w14:paraId="453E9B84">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D</w:t>
      </w:r>
      <w:r>
        <w:rPr>
          <w:rFonts w:hint="eastAsia" w:eastAsia="黑体"/>
          <w:szCs w:val="28"/>
        </w:rPr>
        <w:t xml:space="preserve">etection </w:t>
      </w:r>
      <w:r>
        <w:rPr>
          <w:rFonts w:hint="eastAsia" w:eastAsia="黑体"/>
          <w:szCs w:val="28"/>
          <w:lang w:val="en-US" w:eastAsia="zh-CN"/>
        </w:rPr>
        <w:t>for</w:t>
      </w:r>
      <w:r>
        <w:rPr>
          <w:rFonts w:hint="eastAsia" w:eastAsia="黑体"/>
          <w:szCs w:val="28"/>
        </w:rPr>
        <w:t xml:space="preserve"> </w:t>
      </w:r>
      <w:r>
        <w:rPr>
          <w:rFonts w:hint="eastAsia" w:eastAsia="黑体"/>
          <w:szCs w:val="28"/>
          <w:lang w:val="en-US" w:eastAsia="zh-CN"/>
        </w:rPr>
        <w:t>uniformity of highway</w:t>
      </w:r>
      <w:r>
        <w:rPr>
          <w:rFonts w:hint="eastAsia" w:eastAsia="黑体"/>
          <w:szCs w:val="28"/>
        </w:rPr>
        <w:t xml:space="preserve"> asphalt pavement </w:t>
      </w:r>
      <w:r>
        <w:rPr>
          <w:rFonts w:hint="eastAsia" w:eastAsia="黑体"/>
          <w:szCs w:val="28"/>
          <w:lang w:val="en-US" w:eastAsia="zh-CN"/>
        </w:rPr>
        <w:t>construction</w:t>
      </w:r>
      <w:r>
        <w:rPr>
          <w:rFonts w:hint="eastAsia" w:eastAsia="黑体"/>
          <w:szCs w:val="28"/>
        </w:rPr>
        <w:t>—</w:t>
      </w:r>
      <w:r>
        <w:rPr>
          <w:rFonts w:hint="eastAsia" w:eastAsia="黑体"/>
          <w:szCs w:val="28"/>
          <w:lang w:val="en-US" w:eastAsia="zh-CN"/>
        </w:rPr>
        <w:t>i</w:t>
      </w:r>
      <w:r>
        <w:rPr>
          <w:rFonts w:hint="eastAsia" w:eastAsia="黑体"/>
          <w:szCs w:val="28"/>
        </w:rPr>
        <w:t>nfrared thermography method</w:t>
      </w:r>
      <w:r>
        <w:rPr>
          <w:rFonts w:hint="eastAsia" w:eastAsia="黑体"/>
          <w:szCs w:val="28"/>
          <w:lang w:val="en-US" w:eastAsia="zh-CN"/>
        </w:rPr>
        <w:t xml:space="preserve"> </w:t>
      </w:r>
      <w:r>
        <w:rPr>
          <w:rFonts w:hint="eastAsia" w:eastAsia="黑体"/>
          <w:szCs w:val="28"/>
        </w:rPr>
        <w:t xml:space="preserve">and </w:t>
      </w:r>
      <w:r>
        <w:rPr>
          <w:rFonts w:hint="eastAsia" w:eastAsia="黑体"/>
          <w:szCs w:val="28"/>
          <w:lang w:val="en-US" w:eastAsia="zh-CN"/>
        </w:rPr>
        <w:t>three dimensional （3D）</w:t>
      </w:r>
      <w:r>
        <w:rPr>
          <w:rFonts w:hint="eastAsia" w:eastAsia="黑体"/>
          <w:szCs w:val="28"/>
        </w:rPr>
        <w:t xml:space="preserve"> ground-penetrating radar method</w:t>
      </w:r>
      <w:r>
        <w:rPr>
          <w:rFonts w:eastAsia="黑体"/>
          <w:szCs w:val="28"/>
        </w:rPr>
        <w:fldChar w:fldCharType="end"/>
      </w:r>
      <w:bookmarkEnd w:id="10"/>
    </w:p>
    <w:p w14:paraId="513DCB83">
      <w:pPr>
        <w:framePr w:w="9639" w:h="6974" w:hRule="exact" w:wrap="around" w:vAnchor="page" w:hAnchor="page" w:x="1419" w:y="6408" w:anchorLock="1"/>
        <w:spacing w:line="760" w:lineRule="exact"/>
        <w:ind w:left="-1418"/>
      </w:pPr>
    </w:p>
    <w:p w14:paraId="1D937FA3">
      <w:pPr>
        <w:pStyle w:val="126"/>
        <w:framePr w:w="9639" w:h="6974" w:hRule="exact" w:wrap="around" w:vAnchor="page" w:hAnchor="page" w:x="1419" w:y="6408" w:anchorLock="1"/>
        <w:textAlignment w:val="bottom"/>
        <w:rPr>
          <w:rFonts w:eastAsia="黑体"/>
          <w:szCs w:val="28"/>
        </w:rPr>
      </w:pPr>
    </w:p>
    <w:p w14:paraId="417E8923">
      <w:pPr>
        <w:pStyle w:val="126"/>
        <w:framePr w:w="9639" w:h="6974" w:hRule="exact" w:wrap="around" w:vAnchor="page" w:hAnchor="page" w:x="1419" w:y="6408" w:anchorLock="1"/>
        <w:spacing w:before="440" w:after="160"/>
        <w:textAlignment w:val="bottom"/>
        <w:rPr>
          <w:sz w:val="24"/>
          <w:szCs w:val="28"/>
        </w:rPr>
      </w:pPr>
    </w:p>
    <w:p w14:paraId="3FC0BFD5">
      <w:pPr>
        <w:pStyle w:val="126"/>
        <w:framePr w:w="9639" w:h="6974" w:hRule="exact" w:wrap="around" w:vAnchor="page" w:hAnchor="page" w:x="1419" w:y="6408" w:anchorLock="1"/>
        <w:spacing w:before="180" w:line="240" w:lineRule="atLeast"/>
        <w:textAlignment w:val="bottom"/>
        <w:rPr>
          <w:sz w:val="21"/>
          <w:szCs w:val="28"/>
        </w:rPr>
      </w:pPr>
    </w:p>
    <w:p w14:paraId="28BF2C9B">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17BA414">
      <w:pPr>
        <w:pStyle w:val="194"/>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00A40421">
      <w:pPr>
        <w:pStyle w:val="195"/>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1F44B6C0">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44B8DEE">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4E02CD">
      <w:pPr>
        <w:pStyle w:val="92"/>
        <w:spacing w:after="468"/>
      </w:pPr>
      <w:bookmarkStart w:id="18" w:name="BookMark1"/>
      <w:bookmarkStart w:id="19" w:name="_Toc83210841"/>
      <w:bookmarkStart w:id="20" w:name="_Toc82858162"/>
      <w:r>
        <w:rPr>
          <w:rFonts w:hint="eastAsia"/>
          <w:spacing w:val="320"/>
        </w:rPr>
        <w:t>目</w:t>
      </w:r>
      <w:r>
        <w:rPr>
          <w:rFonts w:hint="eastAsia"/>
        </w:rPr>
        <w:t>次</w:t>
      </w:r>
    </w:p>
    <w:p w14:paraId="58348395">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_Toc20638 </w:instrText>
      </w:r>
      <w:r>
        <w:fldChar w:fldCharType="separate"/>
      </w:r>
      <w:r>
        <w:rPr>
          <w:spacing w:val="320"/>
        </w:rPr>
        <w:t>前</w:t>
      </w:r>
      <w:r>
        <w:t>言</w:t>
      </w:r>
      <w:r>
        <w:tab/>
      </w:r>
      <w:r>
        <w:fldChar w:fldCharType="begin"/>
      </w:r>
      <w:r>
        <w:instrText xml:space="preserve"> PAGEREF _Toc20638 \h </w:instrText>
      </w:r>
      <w:r>
        <w:fldChar w:fldCharType="separate"/>
      </w:r>
      <w:r>
        <w:t>II</w:t>
      </w:r>
      <w:r>
        <w:fldChar w:fldCharType="end"/>
      </w:r>
      <w:r>
        <w:fldChar w:fldCharType="end"/>
      </w:r>
    </w:p>
    <w:p w14:paraId="69CA5C47">
      <w:pPr>
        <w:pStyle w:val="19"/>
        <w:tabs>
          <w:tab w:val="right" w:leader="dot" w:pos="9354"/>
        </w:tabs>
      </w:pPr>
      <w:r>
        <w:fldChar w:fldCharType="begin"/>
      </w:r>
      <w:r>
        <w:instrText xml:space="preserve"> HYPERLINK \l _Toc4440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_Toc4440 \h </w:instrText>
      </w:r>
      <w:r>
        <w:fldChar w:fldCharType="separate"/>
      </w:r>
      <w:r>
        <w:t>1</w:t>
      </w:r>
      <w:r>
        <w:fldChar w:fldCharType="end"/>
      </w:r>
      <w:r>
        <w:fldChar w:fldCharType="end"/>
      </w:r>
    </w:p>
    <w:p w14:paraId="35F637E2">
      <w:pPr>
        <w:pStyle w:val="19"/>
        <w:tabs>
          <w:tab w:val="right" w:leader="dot" w:pos="9354"/>
        </w:tabs>
      </w:pPr>
      <w:r>
        <w:fldChar w:fldCharType="begin"/>
      </w:r>
      <w:r>
        <w:instrText xml:space="preserve"> HYPERLINK \l _Toc19194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_Toc19194 \h </w:instrText>
      </w:r>
      <w:r>
        <w:fldChar w:fldCharType="separate"/>
      </w:r>
      <w:r>
        <w:t>1</w:t>
      </w:r>
      <w:r>
        <w:fldChar w:fldCharType="end"/>
      </w:r>
      <w:r>
        <w:fldChar w:fldCharType="end"/>
      </w:r>
    </w:p>
    <w:p w14:paraId="5E6D1FF6">
      <w:pPr>
        <w:pStyle w:val="19"/>
        <w:tabs>
          <w:tab w:val="right" w:leader="dot" w:pos="9354"/>
        </w:tabs>
      </w:pPr>
      <w:r>
        <w:fldChar w:fldCharType="begin"/>
      </w:r>
      <w:r>
        <w:instrText xml:space="preserve"> HYPERLINK \l _Toc11922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_Toc11922 \h </w:instrText>
      </w:r>
      <w:r>
        <w:fldChar w:fldCharType="separate"/>
      </w:r>
      <w:r>
        <w:t>1</w:t>
      </w:r>
      <w:r>
        <w:fldChar w:fldCharType="end"/>
      </w:r>
      <w:r>
        <w:fldChar w:fldCharType="end"/>
      </w:r>
    </w:p>
    <w:p w14:paraId="794789F6">
      <w:pPr>
        <w:pStyle w:val="19"/>
        <w:tabs>
          <w:tab w:val="right" w:leader="dot" w:pos="9354"/>
        </w:tabs>
      </w:pPr>
      <w:r>
        <w:fldChar w:fldCharType="begin"/>
      </w:r>
      <w:r>
        <w:instrText xml:space="preserve"> HYPERLINK \l _Toc1662 </w:instrText>
      </w:r>
      <w:r>
        <w:fldChar w:fldCharType="separate"/>
      </w:r>
      <w:r>
        <w:rPr>
          <w:rFonts w:hint="eastAsia" w:ascii="黑体" w:eastAsia="黑体"/>
          <w:i w:val="0"/>
          <w:szCs w:val="21"/>
        </w:rPr>
        <w:t xml:space="preserve">4 </w:t>
      </w:r>
      <w:r>
        <w:rPr>
          <w:rFonts w:hint="eastAsia"/>
          <w:szCs w:val="21"/>
        </w:rPr>
        <w:t>红外热像仪法沥青路面施工温度均匀性检测</w:t>
      </w:r>
      <w:r>
        <w:tab/>
      </w:r>
      <w:r>
        <w:fldChar w:fldCharType="begin"/>
      </w:r>
      <w:r>
        <w:instrText xml:space="preserve"> PAGEREF _Toc1662 \h </w:instrText>
      </w:r>
      <w:r>
        <w:fldChar w:fldCharType="separate"/>
      </w:r>
      <w:r>
        <w:t>1</w:t>
      </w:r>
      <w:r>
        <w:fldChar w:fldCharType="end"/>
      </w:r>
      <w:r>
        <w:fldChar w:fldCharType="end"/>
      </w:r>
    </w:p>
    <w:p w14:paraId="66470EDA">
      <w:pPr>
        <w:pStyle w:val="24"/>
        <w:tabs>
          <w:tab w:val="right" w:leader="dot" w:pos="9354"/>
          <w:tab w:val="clear" w:pos="9344"/>
        </w:tabs>
      </w:pPr>
      <w:r>
        <w:fldChar w:fldCharType="begin"/>
      </w:r>
      <w:r>
        <w:instrText xml:space="preserve"> HYPERLINK \l _Toc6676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rPr>
        <w:t>原理</w:t>
      </w:r>
      <w:r>
        <w:tab/>
      </w:r>
      <w:r>
        <w:fldChar w:fldCharType="begin"/>
      </w:r>
      <w:r>
        <w:instrText xml:space="preserve"> PAGEREF _Toc6676 \h </w:instrText>
      </w:r>
      <w:r>
        <w:fldChar w:fldCharType="separate"/>
      </w:r>
      <w:r>
        <w:t>1</w:t>
      </w:r>
      <w:r>
        <w:fldChar w:fldCharType="end"/>
      </w:r>
      <w:r>
        <w:fldChar w:fldCharType="end"/>
      </w:r>
    </w:p>
    <w:p w14:paraId="499A1779">
      <w:pPr>
        <w:pStyle w:val="24"/>
        <w:tabs>
          <w:tab w:val="right" w:leader="dot" w:pos="9354"/>
          <w:tab w:val="clear" w:pos="9344"/>
        </w:tabs>
      </w:pPr>
      <w:r>
        <w:fldChar w:fldCharType="begin"/>
      </w:r>
      <w:r>
        <w:instrText xml:space="preserve"> HYPERLINK \l _Toc25332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rPr>
        <w:t>仪器设备</w:t>
      </w:r>
      <w:r>
        <w:tab/>
      </w:r>
      <w:r>
        <w:fldChar w:fldCharType="begin"/>
      </w:r>
      <w:r>
        <w:instrText xml:space="preserve"> PAGEREF _Toc25332 \h </w:instrText>
      </w:r>
      <w:r>
        <w:fldChar w:fldCharType="separate"/>
      </w:r>
      <w:r>
        <w:t>1</w:t>
      </w:r>
      <w:r>
        <w:fldChar w:fldCharType="end"/>
      </w:r>
      <w:r>
        <w:fldChar w:fldCharType="end"/>
      </w:r>
    </w:p>
    <w:p w14:paraId="4F714021">
      <w:pPr>
        <w:pStyle w:val="24"/>
        <w:tabs>
          <w:tab w:val="right" w:leader="dot" w:pos="9354"/>
          <w:tab w:val="clear" w:pos="9344"/>
        </w:tabs>
      </w:pPr>
      <w:r>
        <w:fldChar w:fldCharType="begin"/>
      </w:r>
      <w:r>
        <w:instrText xml:space="preserve"> HYPERLINK \l _Toc15450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lang w:eastAsia="zh-CN"/>
        </w:rPr>
        <w:t>检测步骤与要求</w:t>
      </w:r>
      <w:r>
        <w:tab/>
      </w:r>
      <w:r>
        <w:fldChar w:fldCharType="begin"/>
      </w:r>
      <w:r>
        <w:instrText xml:space="preserve"> PAGEREF _Toc15450 \h </w:instrText>
      </w:r>
      <w:r>
        <w:fldChar w:fldCharType="separate"/>
      </w:r>
      <w:r>
        <w:t>2</w:t>
      </w:r>
      <w:r>
        <w:fldChar w:fldCharType="end"/>
      </w:r>
      <w:r>
        <w:fldChar w:fldCharType="end"/>
      </w:r>
    </w:p>
    <w:p w14:paraId="0B4EF064">
      <w:pPr>
        <w:pStyle w:val="24"/>
        <w:tabs>
          <w:tab w:val="right" w:leader="dot" w:pos="9354"/>
          <w:tab w:val="clear" w:pos="9344"/>
        </w:tabs>
      </w:pPr>
      <w:r>
        <w:fldChar w:fldCharType="begin"/>
      </w:r>
      <w:r>
        <w:instrText xml:space="preserve"> HYPERLINK \l _Toc5955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rPr>
        <w:t>数据处理</w:t>
      </w:r>
      <w:r>
        <w:tab/>
      </w:r>
      <w:r>
        <w:fldChar w:fldCharType="begin"/>
      </w:r>
      <w:r>
        <w:instrText xml:space="preserve"> PAGEREF _Toc5955 \h </w:instrText>
      </w:r>
      <w:r>
        <w:fldChar w:fldCharType="separate"/>
      </w:r>
      <w:r>
        <w:t>2</w:t>
      </w:r>
      <w:r>
        <w:fldChar w:fldCharType="end"/>
      </w:r>
      <w:r>
        <w:fldChar w:fldCharType="end"/>
      </w:r>
    </w:p>
    <w:p w14:paraId="5E302DDC">
      <w:pPr>
        <w:pStyle w:val="24"/>
        <w:tabs>
          <w:tab w:val="right" w:leader="dot" w:pos="9354"/>
          <w:tab w:val="clear" w:pos="9344"/>
        </w:tabs>
      </w:pPr>
      <w:r>
        <w:fldChar w:fldCharType="begin"/>
      </w:r>
      <w:r>
        <w:instrText xml:space="preserve"> HYPERLINK \l _Toc1960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4.5 </w:t>
      </w:r>
      <w:r>
        <w:rPr>
          <w:rFonts w:hint="eastAsia"/>
        </w:rPr>
        <w:t>报告</w:t>
      </w:r>
      <w:r>
        <w:tab/>
      </w:r>
      <w:r>
        <w:fldChar w:fldCharType="begin"/>
      </w:r>
      <w:r>
        <w:instrText xml:space="preserve"> PAGEREF _Toc1960 \h </w:instrText>
      </w:r>
      <w:r>
        <w:fldChar w:fldCharType="separate"/>
      </w:r>
      <w:r>
        <w:t>4</w:t>
      </w:r>
      <w:r>
        <w:fldChar w:fldCharType="end"/>
      </w:r>
      <w:r>
        <w:fldChar w:fldCharType="end"/>
      </w:r>
    </w:p>
    <w:p w14:paraId="5CE76599">
      <w:pPr>
        <w:pStyle w:val="19"/>
        <w:tabs>
          <w:tab w:val="right" w:leader="dot" w:pos="9354"/>
        </w:tabs>
      </w:pPr>
      <w:r>
        <w:fldChar w:fldCharType="begin"/>
      </w:r>
      <w:r>
        <w:instrText xml:space="preserve"> HYPERLINK \l _Toc20428 </w:instrText>
      </w:r>
      <w:r>
        <w:fldChar w:fldCharType="separate"/>
      </w:r>
      <w:r>
        <w:rPr>
          <w:rFonts w:hint="eastAsia" w:ascii="黑体" w:eastAsia="黑体"/>
          <w:i w:val="0"/>
          <w:szCs w:val="21"/>
        </w:rPr>
        <w:t xml:space="preserve">5 </w:t>
      </w:r>
      <w:r>
        <w:rPr>
          <w:rFonts w:hint="eastAsia"/>
          <w:szCs w:val="21"/>
        </w:rPr>
        <w:t>三维探地雷达法沥青路面施工压实及厚度均匀性检测</w:t>
      </w:r>
      <w:r>
        <w:tab/>
      </w:r>
      <w:r>
        <w:fldChar w:fldCharType="begin"/>
      </w:r>
      <w:r>
        <w:instrText xml:space="preserve"> PAGEREF _Toc20428 \h </w:instrText>
      </w:r>
      <w:r>
        <w:fldChar w:fldCharType="separate"/>
      </w:r>
      <w:r>
        <w:t>4</w:t>
      </w:r>
      <w:r>
        <w:fldChar w:fldCharType="end"/>
      </w:r>
      <w:r>
        <w:fldChar w:fldCharType="end"/>
      </w:r>
    </w:p>
    <w:p w14:paraId="787D7BA1">
      <w:pPr>
        <w:pStyle w:val="24"/>
        <w:tabs>
          <w:tab w:val="right" w:leader="dot" w:pos="9354"/>
          <w:tab w:val="clear" w:pos="9344"/>
        </w:tabs>
      </w:pPr>
      <w:r>
        <w:fldChar w:fldCharType="begin"/>
      </w:r>
      <w:r>
        <w:instrText xml:space="preserve"> HYPERLINK \l _Toc5465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原理</w:t>
      </w:r>
      <w:r>
        <w:tab/>
      </w:r>
      <w:r>
        <w:fldChar w:fldCharType="begin"/>
      </w:r>
      <w:r>
        <w:instrText xml:space="preserve"> PAGEREF _Toc5465 \h </w:instrText>
      </w:r>
      <w:r>
        <w:fldChar w:fldCharType="separate"/>
      </w:r>
      <w:r>
        <w:t>4</w:t>
      </w:r>
      <w:r>
        <w:fldChar w:fldCharType="end"/>
      </w:r>
      <w:r>
        <w:fldChar w:fldCharType="end"/>
      </w:r>
    </w:p>
    <w:p w14:paraId="04E0A110">
      <w:pPr>
        <w:pStyle w:val="24"/>
        <w:tabs>
          <w:tab w:val="right" w:leader="dot" w:pos="9354"/>
          <w:tab w:val="clear" w:pos="9344"/>
        </w:tabs>
      </w:pPr>
      <w:r>
        <w:fldChar w:fldCharType="begin"/>
      </w:r>
      <w:r>
        <w:instrText xml:space="preserve"> HYPERLINK \l _Toc27891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仪器设备</w:t>
      </w:r>
      <w:r>
        <w:tab/>
      </w:r>
      <w:r>
        <w:fldChar w:fldCharType="begin"/>
      </w:r>
      <w:r>
        <w:instrText xml:space="preserve"> PAGEREF _Toc27891 \h </w:instrText>
      </w:r>
      <w:r>
        <w:fldChar w:fldCharType="separate"/>
      </w:r>
      <w:r>
        <w:t>5</w:t>
      </w:r>
      <w:r>
        <w:fldChar w:fldCharType="end"/>
      </w:r>
      <w:r>
        <w:fldChar w:fldCharType="end"/>
      </w:r>
    </w:p>
    <w:p w14:paraId="6772B8E6">
      <w:pPr>
        <w:pStyle w:val="24"/>
        <w:tabs>
          <w:tab w:val="right" w:leader="dot" w:pos="9354"/>
          <w:tab w:val="clear" w:pos="9344"/>
        </w:tabs>
      </w:pPr>
      <w:r>
        <w:fldChar w:fldCharType="begin"/>
      </w:r>
      <w:r>
        <w:instrText xml:space="preserve"> HYPERLINK \l _Toc9941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rPr>
        <w:t>检测</w:t>
      </w:r>
      <w:r>
        <w:rPr>
          <w:rFonts w:hint="eastAsia"/>
          <w:lang w:eastAsia="zh-CN"/>
        </w:rPr>
        <w:t>步骤及要求</w:t>
      </w:r>
      <w:r>
        <w:tab/>
      </w:r>
      <w:r>
        <w:fldChar w:fldCharType="begin"/>
      </w:r>
      <w:r>
        <w:instrText xml:space="preserve"> PAGEREF _Toc9941 \h </w:instrText>
      </w:r>
      <w:r>
        <w:fldChar w:fldCharType="separate"/>
      </w:r>
      <w:r>
        <w:t>5</w:t>
      </w:r>
      <w:r>
        <w:fldChar w:fldCharType="end"/>
      </w:r>
      <w:r>
        <w:fldChar w:fldCharType="end"/>
      </w:r>
    </w:p>
    <w:p w14:paraId="29128C22">
      <w:pPr>
        <w:pStyle w:val="24"/>
        <w:tabs>
          <w:tab w:val="right" w:leader="dot" w:pos="9354"/>
          <w:tab w:val="clear" w:pos="9344"/>
        </w:tabs>
      </w:pPr>
      <w:r>
        <w:fldChar w:fldCharType="begin"/>
      </w:r>
      <w:r>
        <w:instrText xml:space="preserve"> HYPERLINK \l _Toc19147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rPr>
        <w:t>数据处理</w:t>
      </w:r>
      <w:r>
        <w:tab/>
      </w:r>
      <w:r>
        <w:fldChar w:fldCharType="begin"/>
      </w:r>
      <w:r>
        <w:instrText xml:space="preserve"> PAGEREF _Toc19147 \h </w:instrText>
      </w:r>
      <w:r>
        <w:fldChar w:fldCharType="separate"/>
      </w:r>
      <w:r>
        <w:t>6</w:t>
      </w:r>
      <w:r>
        <w:fldChar w:fldCharType="end"/>
      </w:r>
      <w:r>
        <w:fldChar w:fldCharType="end"/>
      </w:r>
    </w:p>
    <w:p w14:paraId="1D8157EA">
      <w:pPr>
        <w:pStyle w:val="24"/>
        <w:tabs>
          <w:tab w:val="right" w:leader="dot" w:pos="9354"/>
          <w:tab w:val="clear" w:pos="9344"/>
        </w:tabs>
      </w:pPr>
      <w:r>
        <w:fldChar w:fldCharType="begin"/>
      </w:r>
      <w:r>
        <w:instrText xml:space="preserve"> HYPERLINK \l _Toc28421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rPr>
        <w:t>报告</w:t>
      </w:r>
      <w:r>
        <w:tab/>
      </w:r>
      <w:r>
        <w:fldChar w:fldCharType="begin"/>
      </w:r>
      <w:r>
        <w:instrText xml:space="preserve"> PAGEREF _Toc28421 \h </w:instrText>
      </w:r>
      <w:r>
        <w:fldChar w:fldCharType="separate"/>
      </w:r>
      <w:r>
        <w:t>8</w:t>
      </w:r>
      <w:r>
        <w:fldChar w:fldCharType="end"/>
      </w:r>
      <w:r>
        <w:fldChar w:fldCharType="end"/>
      </w:r>
    </w:p>
    <w:p w14:paraId="2E674B2F">
      <w:pPr>
        <w:pStyle w:val="19"/>
        <w:tabs>
          <w:tab w:val="right" w:leader="dot" w:pos="9354"/>
        </w:tabs>
      </w:pPr>
      <w:r>
        <w:fldChar w:fldCharType="begin"/>
      </w:r>
      <w:r>
        <w:instrText xml:space="preserve"> HYPERLINK \l _Toc822 </w:instrText>
      </w:r>
      <w:r>
        <w:fldChar w:fldCharType="separate"/>
      </w:r>
      <w:r>
        <w:rPr>
          <w:rFonts w:hint="eastAsia"/>
          <w:spacing w:val="100"/>
        </w:rPr>
        <w:t xml:space="preserve">附录A </w:t>
      </w:r>
      <w:r>
        <w:t xml:space="preserve"> </w:t>
      </w:r>
      <w:r>
        <w:rPr>
          <w:rFonts w:hint="eastAsia"/>
        </w:rPr>
        <w:t>（</w:t>
      </w:r>
      <w:r>
        <w:rPr>
          <w:rFonts w:hint="eastAsia"/>
          <w:lang w:eastAsia="zh-CN"/>
        </w:rPr>
        <w:t>资料</w:t>
      </w:r>
      <w:r>
        <w:rPr>
          <w:rFonts w:hint="eastAsia"/>
        </w:rPr>
        <w:t>性）</w:t>
      </w:r>
      <w:r>
        <w:t xml:space="preserve"> 三维探地雷达现场记录表</w:t>
      </w:r>
      <w:r>
        <w:tab/>
      </w:r>
      <w:r>
        <w:fldChar w:fldCharType="begin"/>
      </w:r>
      <w:r>
        <w:instrText xml:space="preserve"> PAGEREF _Toc822 \h </w:instrText>
      </w:r>
      <w:r>
        <w:fldChar w:fldCharType="separate"/>
      </w:r>
      <w:r>
        <w:t>9</w:t>
      </w:r>
      <w:r>
        <w:fldChar w:fldCharType="end"/>
      </w:r>
      <w:r>
        <w:fldChar w:fldCharType="end"/>
      </w:r>
    </w:p>
    <w:p w14:paraId="401C4253">
      <w:pPr>
        <w:pStyle w:val="19"/>
        <w:tabs>
          <w:tab w:val="right" w:leader="dot" w:pos="9354"/>
        </w:tabs>
      </w:pPr>
      <w:r>
        <w:fldChar w:fldCharType="begin"/>
      </w:r>
      <w:r>
        <w:instrText xml:space="preserve"> HYPERLINK \l _Toc28787 </w:instrText>
      </w:r>
      <w:r>
        <w:fldChar w:fldCharType="separate"/>
      </w:r>
      <w:r>
        <w:rPr>
          <w:rFonts w:hint="eastAsia"/>
          <w:spacing w:val="100"/>
        </w:rPr>
        <w:t xml:space="preserve">附录B </w:t>
      </w:r>
      <w:r>
        <w:t xml:space="preserve"> </w:t>
      </w:r>
      <w:r>
        <w:rPr>
          <w:rFonts w:hint="eastAsia"/>
        </w:rPr>
        <w:t>（</w:t>
      </w:r>
      <w:r>
        <w:rPr>
          <w:rFonts w:hint="eastAsia"/>
          <w:lang w:eastAsia="zh-CN"/>
        </w:rPr>
        <w:t>资料</w:t>
      </w:r>
      <w:r>
        <w:rPr>
          <w:rFonts w:hint="eastAsia"/>
        </w:rPr>
        <w:t>性）</w:t>
      </w:r>
      <w:r>
        <w:t xml:space="preserve"> 雷达介电常数标定记录表</w:t>
      </w:r>
      <w:r>
        <w:tab/>
      </w:r>
      <w:r>
        <w:fldChar w:fldCharType="begin"/>
      </w:r>
      <w:r>
        <w:instrText xml:space="preserve"> PAGEREF _Toc28787 \h </w:instrText>
      </w:r>
      <w:r>
        <w:fldChar w:fldCharType="separate"/>
      </w:r>
      <w:r>
        <w:t>10</w:t>
      </w:r>
      <w:r>
        <w:fldChar w:fldCharType="end"/>
      </w:r>
      <w:r>
        <w:fldChar w:fldCharType="end"/>
      </w:r>
    </w:p>
    <w:p w14:paraId="4DF5492B">
      <w:pPr>
        <w:pStyle w:val="92"/>
        <w:spacing w:after="468"/>
        <w:sectPr>
          <w:headerReference r:id="rId11" w:type="default"/>
          <w:footerReference r:id="rId13" w:type="default"/>
          <w:headerReference r:id="rId12"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18"/>
    <w:p w14:paraId="60BF41F8">
      <w:pPr>
        <w:pStyle w:val="90"/>
        <w:spacing w:after="468"/>
      </w:pPr>
      <w:bookmarkStart w:id="21" w:name="_Toc20638"/>
      <w:r>
        <w:rPr>
          <w:spacing w:val="320"/>
        </w:rPr>
        <w:t>前</w:t>
      </w:r>
      <w:r>
        <w:t>言</w:t>
      </w:r>
      <w:bookmarkEnd w:id="19"/>
      <w:bookmarkEnd w:id="20"/>
      <w:bookmarkEnd w:id="21"/>
    </w:p>
    <w:p w14:paraId="14E51A3C">
      <w:pPr>
        <w:pStyle w:val="57"/>
      </w:pPr>
      <w:r>
        <w:rPr>
          <w:rFonts w:hint="eastAsia"/>
        </w:rPr>
        <w:t>本文件按照GB/T 1.1—2020《标准化工作导则  第1部分：标准化文件的结构和起草规则》的规定起草。</w:t>
      </w:r>
    </w:p>
    <w:p w14:paraId="2D08C2D2">
      <w:pPr>
        <w:pStyle w:val="57"/>
      </w:pPr>
      <w:r>
        <w:rPr>
          <w:rFonts w:hint="eastAsia"/>
        </w:rPr>
        <w:t>请注意本文件的某些内容可能涉及专利。本文件的发布机构不承担识别专利的责任。</w:t>
      </w:r>
    </w:p>
    <w:p w14:paraId="695D35D2">
      <w:pPr>
        <w:pStyle w:val="57"/>
      </w:pPr>
      <w:r>
        <w:rPr>
          <w:rFonts w:hint="eastAsia"/>
        </w:rPr>
        <w:t>本文件由山东省交通运输厅提出并组织实施。</w:t>
      </w:r>
    </w:p>
    <w:p w14:paraId="66EF1111">
      <w:pPr>
        <w:pStyle w:val="57"/>
      </w:pPr>
      <w:r>
        <w:rPr>
          <w:rFonts w:hint="eastAsia"/>
        </w:rPr>
        <w:t>本文件由山东省交通运输标准化技术委员会归口。</w:t>
      </w:r>
    </w:p>
    <w:p w14:paraId="6940425F">
      <w:pPr>
        <w:pStyle w:val="57"/>
        <w:sectPr>
          <w:pgSz w:w="11906" w:h="16838"/>
          <w:pgMar w:top="567" w:right="1134" w:bottom="1134" w:left="1134" w:header="1418" w:footer="1134" w:gutter="284"/>
          <w:pgNumType w:fmt="upperRoman"/>
          <w:cols w:space="425" w:num="1"/>
          <w:formProt w:val="0"/>
          <w:docGrid w:type="lines" w:linePitch="312" w:charSpace="0"/>
        </w:sectPr>
      </w:pPr>
      <w:bookmarkStart w:id="22" w:name="BookMark2"/>
    </w:p>
    <w:bookmarkEnd w:id="22"/>
    <w:p w14:paraId="339E4CE4">
      <w:pPr>
        <w:spacing w:line="20" w:lineRule="exact"/>
        <w:jc w:val="center"/>
        <w:rPr>
          <w:rFonts w:hint="eastAsia" w:ascii="黑体" w:hAnsi="黑体" w:eastAsia="黑体"/>
          <w:sz w:val="32"/>
          <w:szCs w:val="32"/>
        </w:rPr>
      </w:pPr>
      <w:bookmarkStart w:id="23" w:name="BookMark4"/>
    </w:p>
    <w:p w14:paraId="23A30549">
      <w:pPr>
        <w:spacing w:line="20" w:lineRule="exact"/>
        <w:jc w:val="center"/>
        <w:rPr>
          <w:rFonts w:hint="eastAsia" w:ascii="黑体" w:hAnsi="黑体" w:eastAsia="黑体"/>
          <w:sz w:val="32"/>
          <w:szCs w:val="32"/>
        </w:rPr>
      </w:pPr>
    </w:p>
    <w:p w14:paraId="6004C56E">
      <w:pPr>
        <w:pStyle w:val="178"/>
        <w:spacing w:before="312" w:beforeLines="100" w:after="686" w:afterLines="220"/>
        <w:rPr>
          <w:rFonts w:hint="eastAsia"/>
        </w:rPr>
      </w:pPr>
      <w:sdt>
        <w:sdtPr>
          <w:tag w:val="NEW_STAND_NAME"/>
          <w:id w:val="147469591"/>
          <w:lock w:val="sdtLocked"/>
          <w:placeholder>
            <w:docPart w:val="{f1f7ad7a-9f4d-4302-8d6d-8c212cf399ac}"/>
          </w:placeholder>
        </w:sdtPr>
        <w:sdtContent>
          <w:bookmarkStart w:id="24" w:name="NEW_STAND_NAME"/>
          <w:r>
            <w:rPr>
              <w:rFonts w:hint="eastAsia"/>
            </w:rPr>
            <w:t>公路沥青路面施工均匀性检测 红外热像仪法和三维探地雷达法</w:t>
          </w:r>
        </w:sdtContent>
      </w:sdt>
    </w:p>
    <w:bookmarkEnd w:id="24"/>
    <w:p w14:paraId="7198C721">
      <w:pPr>
        <w:pStyle w:val="105"/>
        <w:spacing w:before="312" w:after="312"/>
      </w:pPr>
      <w:bookmarkStart w:id="25" w:name="_Toc17233325"/>
      <w:bookmarkStart w:id="26" w:name="_Toc26986530"/>
      <w:bookmarkStart w:id="27" w:name="_Toc82858163"/>
      <w:bookmarkStart w:id="28" w:name="_Toc26648465"/>
      <w:bookmarkStart w:id="29" w:name="_Toc4440"/>
      <w:bookmarkStart w:id="30" w:name="_Toc26718930"/>
      <w:bookmarkStart w:id="31" w:name="_Toc24884211"/>
      <w:bookmarkStart w:id="32" w:name="_Toc83210842"/>
      <w:bookmarkStart w:id="33" w:name="_Toc26986771"/>
      <w:bookmarkStart w:id="34" w:name="_Toc17233333"/>
      <w:bookmarkStart w:id="35" w:name="_Toc24884218"/>
      <w:r>
        <w:rPr>
          <w:rFonts w:hint="eastAsia"/>
        </w:rPr>
        <w:t>范围</w:t>
      </w:r>
      <w:bookmarkEnd w:id="25"/>
      <w:bookmarkEnd w:id="26"/>
      <w:bookmarkEnd w:id="27"/>
      <w:bookmarkEnd w:id="28"/>
      <w:bookmarkEnd w:id="29"/>
      <w:bookmarkEnd w:id="30"/>
      <w:bookmarkEnd w:id="31"/>
      <w:bookmarkEnd w:id="32"/>
      <w:bookmarkEnd w:id="33"/>
      <w:bookmarkEnd w:id="34"/>
      <w:bookmarkEnd w:id="35"/>
    </w:p>
    <w:p w14:paraId="71E99127">
      <w:pPr>
        <w:pStyle w:val="57"/>
      </w:pPr>
      <w:r>
        <w:rPr>
          <w:rFonts w:hint="eastAsia"/>
        </w:rPr>
        <w:t>本文件</w:t>
      </w:r>
      <w:r>
        <w:rPr>
          <w:rFonts w:hint="eastAsia"/>
          <w:lang w:eastAsia="zh-CN"/>
        </w:rPr>
        <w:t>描述</w:t>
      </w:r>
      <w:r>
        <w:rPr>
          <w:rFonts w:hint="eastAsia"/>
        </w:rPr>
        <w:t>了利用红外热像仪</w:t>
      </w:r>
      <w:r>
        <w:rPr>
          <w:rFonts w:hint="eastAsia"/>
          <w:lang w:eastAsia="zh-CN"/>
        </w:rPr>
        <w:t>进行沥青路面施工温度均匀性检测</w:t>
      </w:r>
      <w:r>
        <w:rPr>
          <w:rFonts w:hint="eastAsia"/>
          <w:lang w:val="en-US" w:eastAsia="zh-CN"/>
        </w:rPr>
        <w:t>以及</w:t>
      </w:r>
      <w:r>
        <w:rPr>
          <w:rFonts w:hint="eastAsia"/>
        </w:rPr>
        <w:t>三维探地雷达进行公路沥青路面</w:t>
      </w:r>
      <w:r>
        <w:rPr>
          <w:rFonts w:hint="eastAsia"/>
          <w:lang w:eastAsia="zh-CN"/>
        </w:rPr>
        <w:t>压实及厚度均匀性检测的方法</w:t>
      </w:r>
      <w:r>
        <w:rPr>
          <w:rFonts w:hint="eastAsia"/>
        </w:rPr>
        <w:t>。</w:t>
      </w:r>
    </w:p>
    <w:p w14:paraId="29DC9ABE">
      <w:pPr>
        <w:pStyle w:val="57"/>
      </w:pPr>
      <w:bookmarkStart w:id="36" w:name="_Toc24884219"/>
      <w:bookmarkStart w:id="37" w:name="_Toc17233326"/>
      <w:bookmarkStart w:id="38" w:name="_Toc26648466"/>
      <w:bookmarkStart w:id="39" w:name="_Toc17233334"/>
      <w:bookmarkStart w:id="40" w:name="_Toc24884212"/>
      <w:r>
        <w:rPr>
          <w:rFonts w:hint="eastAsia"/>
        </w:rPr>
        <w:t>本文件适用于公路新建和改、扩建工程沥青路面施工均匀性检测。</w:t>
      </w:r>
    </w:p>
    <w:p w14:paraId="3B8D5E0C">
      <w:pPr>
        <w:pStyle w:val="105"/>
        <w:spacing w:before="312" w:after="312"/>
      </w:pPr>
      <w:bookmarkStart w:id="41" w:name="_Toc83210843"/>
      <w:bookmarkStart w:id="42" w:name="_Toc26986531"/>
      <w:bookmarkStart w:id="43" w:name="_Toc26718931"/>
      <w:bookmarkStart w:id="44" w:name="_Toc82858164"/>
      <w:bookmarkStart w:id="45" w:name="_Toc19194"/>
      <w:bookmarkStart w:id="46" w:name="_Toc26986772"/>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id w:val="147458229"/>
        <w:placeholder>
          <w:docPart w:val="{13f262c6-d914-40ee-9bf9-ad940551f2b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5AC0776">
          <w:pPr>
            <w:pStyle w:val="57"/>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0E19F94">
      <w:pPr>
        <w:pStyle w:val="57"/>
      </w:pPr>
      <w:r>
        <w:rPr>
          <w:rFonts w:hint="eastAsia"/>
        </w:rPr>
        <w:t>JTG 3450 公路路基路面现场测试规程</w:t>
      </w:r>
    </w:p>
    <w:p w14:paraId="11071652">
      <w:pPr>
        <w:pStyle w:val="57"/>
      </w:pPr>
      <w:r>
        <w:rPr>
          <w:rFonts w:hint="eastAsia"/>
        </w:rPr>
        <w:t>JTG F40</w:t>
      </w:r>
      <w:r>
        <w:rPr>
          <w:rFonts w:hint="eastAsia"/>
          <w:lang w:val="en-US" w:eastAsia="zh-CN"/>
        </w:rPr>
        <w:t>-2004</w:t>
      </w:r>
      <w:r>
        <w:rPr>
          <w:rFonts w:hint="eastAsia"/>
        </w:rPr>
        <w:t xml:space="preserve"> 公路沥青路面施工技术规范</w:t>
      </w:r>
    </w:p>
    <w:p w14:paraId="1E5C968B">
      <w:pPr>
        <w:pStyle w:val="57"/>
      </w:pPr>
      <w:r>
        <w:rPr>
          <w:rFonts w:hint="eastAsia"/>
        </w:rPr>
        <w:t>JTG/T E61 公路路面技术状况自动化检测规程</w:t>
      </w:r>
      <w:r>
        <w:fldChar w:fldCharType="begin"/>
      </w:r>
      <w:r>
        <w:instrText xml:space="preserve"> SEQ AMEqn \r \h \* MERGEFORMAT </w:instrText>
      </w:r>
      <w:r>
        <w:fldChar w:fldCharType="separate"/>
      </w:r>
      <w:r>
        <w:fldChar w:fldCharType="end"/>
      </w:r>
      <w:r>
        <w:fldChar w:fldCharType="begin"/>
      </w:r>
      <w:r>
        <w:instrText xml:space="preserve"> SEQ AMSec \r 1 \h \* MERGEFORMAT </w:instrText>
      </w:r>
      <w:r>
        <w:fldChar w:fldCharType="separate"/>
      </w:r>
      <w:r>
        <w:fldChar w:fldCharType="end"/>
      </w:r>
      <w:r>
        <w:fldChar w:fldCharType="begin"/>
      </w:r>
      <w:r>
        <w:instrText xml:space="preserve"> SEQ AMChap \h \* MERGEFORMAT </w:instrText>
      </w:r>
      <w:r>
        <w:fldChar w:fldCharType="separate"/>
      </w:r>
      <w:r>
        <w:fldChar w:fldCharType="end"/>
      </w:r>
      <w:r>
        <w:fldChar w:fldCharType="begin"/>
      </w:r>
      <w:r>
        <w:instrText xml:space="preserve"> </w:instrText>
      </w:r>
      <w:r>
        <w:rPr>
          <w:rFonts w:hint="eastAsia"/>
        </w:rPr>
        <w:instrText xml:space="preserve">MACROBUTTON AMEditEquationSection2</w:instrText>
      </w:r>
      <w:r>
        <w:instrText xml:space="preserve"> </w:instrText>
      </w:r>
      <w:r>
        <w:fldChar w:fldCharType="separate"/>
      </w:r>
      <w:r>
        <w:fldChar w:fldCharType="end"/>
      </w:r>
    </w:p>
    <w:p w14:paraId="4812E068">
      <w:pPr>
        <w:pStyle w:val="105"/>
        <w:spacing w:before="312" w:after="312"/>
      </w:pPr>
      <w:bookmarkStart w:id="47" w:name="_Toc82858165"/>
      <w:bookmarkStart w:id="48" w:name="_Toc11922"/>
      <w:bookmarkStart w:id="49" w:name="_Toc83210844"/>
      <w:r>
        <w:rPr>
          <w:rFonts w:hint="eastAsia"/>
          <w:szCs w:val="21"/>
        </w:rPr>
        <w:t>术语和定义</w:t>
      </w:r>
      <w:bookmarkEnd w:id="47"/>
      <w:bookmarkEnd w:id="48"/>
      <w:bookmarkEnd w:id="49"/>
    </w:p>
    <w:sdt>
      <w:sdtPr>
        <w:id w:val="147473915"/>
        <w:placeholder>
          <w:docPart w:val="{079f676f-9f23-4581-81db-8ca2a95fb87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E523ACF">
          <w:pPr>
            <w:pStyle w:val="57"/>
          </w:pPr>
          <w:bookmarkStart w:id="50" w:name="_Toc26986532"/>
          <w:bookmarkEnd w:id="50"/>
          <w:r>
            <w:t>下列术语和定义适用于本文件。</w:t>
          </w:r>
        </w:p>
      </w:sdtContent>
    </w:sdt>
    <w:p w14:paraId="2F58C24D">
      <w:pPr>
        <w:pStyle w:val="166"/>
        <w:numPr>
          <w:ilvl w:val="0"/>
          <w:numId w:val="0"/>
        </w:numPr>
        <w:rPr>
          <w:rFonts w:hint="eastAsia"/>
        </w:rPr>
      </w:pPr>
      <w:r>
        <w:rPr>
          <w:rFonts w:hint="eastAsia" w:ascii="黑体" w:hAnsi="黑体" w:eastAsia="黑体"/>
        </w:rPr>
        <w:t>3</w:t>
      </w:r>
      <w:r>
        <w:rPr>
          <w:rFonts w:ascii="黑体" w:hAnsi="黑体" w:eastAsia="黑体"/>
        </w:rPr>
        <w:t>.1</w:t>
      </w:r>
    </w:p>
    <w:p w14:paraId="0A7EDE15">
      <w:pPr>
        <w:pStyle w:val="224"/>
        <w:numPr>
          <w:ilvl w:val="0"/>
          <w:numId w:val="0"/>
        </w:numPr>
        <w:ind w:firstLine="420" w:firstLineChars="200"/>
        <w:rPr>
          <w:rFonts w:hint="eastAsia" w:ascii="Times New Roman" w:eastAsia="黑体"/>
          <w:szCs w:val="21"/>
          <w:lang w:eastAsia="zh-CN" w:bidi="ar"/>
        </w:rPr>
      </w:pPr>
      <w:r>
        <w:rPr>
          <w:rFonts w:hint="eastAsia" w:ascii="Times New Roman" w:eastAsia="黑体"/>
          <w:szCs w:val="21"/>
          <w:lang w:bidi="ar"/>
        </w:rPr>
        <w:t xml:space="preserve">均匀性检测 </w:t>
      </w:r>
      <w:r>
        <w:rPr>
          <w:rFonts w:hint="eastAsia" w:ascii="Times New Roman" w:eastAsia="黑体"/>
          <w:szCs w:val="21"/>
          <w:lang w:val="en-US" w:eastAsia="zh-CN" w:bidi="ar"/>
        </w:rPr>
        <w:t>u</w:t>
      </w:r>
      <w:r>
        <w:rPr>
          <w:rFonts w:hint="eastAsia" w:ascii="Times New Roman" w:eastAsia="黑体"/>
          <w:szCs w:val="21"/>
          <w:lang w:bidi="ar"/>
        </w:rPr>
        <w:t xml:space="preserve">niformity </w:t>
      </w:r>
      <w:r>
        <w:rPr>
          <w:rFonts w:hint="eastAsia" w:ascii="Times New Roman" w:eastAsia="黑体"/>
          <w:color w:val="auto"/>
          <w:szCs w:val="21"/>
          <w:lang w:val="en-US" w:eastAsia="zh-CN" w:bidi="ar"/>
        </w:rPr>
        <w:t>d</w:t>
      </w:r>
      <w:r>
        <w:rPr>
          <w:rFonts w:hint="eastAsia" w:ascii="Times New Roman" w:eastAsia="黑体"/>
          <w:szCs w:val="21"/>
          <w:lang w:bidi="ar"/>
        </w:rPr>
        <w:t>etection</w:t>
      </w:r>
    </w:p>
    <w:p w14:paraId="0F9FAE1C">
      <w:pPr>
        <w:pStyle w:val="57"/>
        <w:rPr>
          <w:rFonts w:hint="eastAsia"/>
        </w:rPr>
      </w:pPr>
      <w:r>
        <w:rPr>
          <w:rFonts w:hint="eastAsia"/>
        </w:rPr>
        <w:t>采用特定设备与方法，对沥青路面施工过程中不同部位的温度、压实度及厚度等特性或性能参数一致性的检查与测试方法。</w:t>
      </w:r>
    </w:p>
    <w:p w14:paraId="67B8CE01">
      <w:pPr>
        <w:pStyle w:val="166"/>
        <w:numPr>
          <w:ilvl w:val="0"/>
          <w:numId w:val="0"/>
        </w:numPr>
        <w:rPr>
          <w:rFonts w:hint="eastAsia" w:eastAsia="黑体"/>
          <w:lang w:eastAsia="zh-CN"/>
        </w:rPr>
      </w:pPr>
      <w:r>
        <w:rPr>
          <w:rFonts w:hint="eastAsia" w:ascii="黑体" w:hAnsi="黑体" w:eastAsia="黑体"/>
        </w:rPr>
        <w:t>3</w:t>
      </w:r>
      <w:r>
        <w:rPr>
          <w:rFonts w:ascii="黑体" w:hAnsi="黑体" w:eastAsia="黑体"/>
        </w:rPr>
        <w:t>.</w:t>
      </w:r>
      <w:r>
        <w:rPr>
          <w:rFonts w:hint="eastAsia" w:ascii="黑体" w:hAnsi="黑体" w:eastAsia="黑体"/>
          <w:lang w:val="en-US" w:eastAsia="zh-CN"/>
        </w:rPr>
        <w:t>2</w:t>
      </w:r>
    </w:p>
    <w:p w14:paraId="073F0F25">
      <w:pPr>
        <w:pStyle w:val="224"/>
        <w:numPr>
          <w:ilvl w:val="0"/>
          <w:numId w:val="0"/>
        </w:numPr>
        <w:ind w:firstLine="420" w:firstLineChars="200"/>
        <w:rPr>
          <w:rFonts w:ascii="Times New Roman" w:eastAsia="黑体"/>
          <w:szCs w:val="21"/>
          <w:lang w:bidi="ar"/>
        </w:rPr>
      </w:pPr>
      <w:r>
        <w:rPr>
          <w:rFonts w:hint="eastAsia" w:ascii="Times New Roman" w:eastAsia="黑体"/>
          <w:szCs w:val="21"/>
          <w:lang w:bidi="ar"/>
        </w:rPr>
        <w:t xml:space="preserve">标准检测区域 </w:t>
      </w:r>
      <w:r>
        <w:rPr>
          <w:rFonts w:hint="eastAsia" w:ascii="Times New Roman" w:eastAsia="黑体"/>
          <w:szCs w:val="21"/>
          <w:lang w:val="en-US" w:eastAsia="zh-CN" w:bidi="ar"/>
        </w:rPr>
        <w:t>s</w:t>
      </w:r>
      <w:r>
        <w:rPr>
          <w:rFonts w:hint="eastAsia" w:ascii="Times New Roman" w:eastAsia="黑体"/>
          <w:szCs w:val="21"/>
          <w:lang w:bidi="ar"/>
        </w:rPr>
        <w:t xml:space="preserve">tandard </w:t>
      </w:r>
      <w:r>
        <w:rPr>
          <w:rFonts w:hint="eastAsia" w:ascii="Times New Roman" w:eastAsia="黑体"/>
          <w:szCs w:val="21"/>
          <w:lang w:val="en-US" w:eastAsia="zh-CN" w:bidi="ar"/>
        </w:rPr>
        <w:t>t</w:t>
      </w:r>
      <w:r>
        <w:rPr>
          <w:rFonts w:hint="eastAsia" w:ascii="Times New Roman" w:eastAsia="黑体"/>
          <w:szCs w:val="21"/>
          <w:lang w:bidi="ar"/>
        </w:rPr>
        <w:t xml:space="preserve">esting </w:t>
      </w:r>
      <w:r>
        <w:rPr>
          <w:rFonts w:hint="eastAsia" w:ascii="Times New Roman" w:eastAsia="黑体"/>
          <w:szCs w:val="21"/>
          <w:lang w:val="en-US" w:eastAsia="zh-CN" w:bidi="ar"/>
        </w:rPr>
        <w:t>a</w:t>
      </w:r>
      <w:r>
        <w:rPr>
          <w:rFonts w:hint="eastAsia" w:ascii="Times New Roman" w:eastAsia="黑体"/>
          <w:szCs w:val="21"/>
          <w:lang w:bidi="ar"/>
        </w:rPr>
        <w:t>rea</w:t>
      </w:r>
    </w:p>
    <w:p w14:paraId="002817CF">
      <w:pPr>
        <w:pStyle w:val="57"/>
      </w:pPr>
      <w:r>
        <w:rPr>
          <w:rFonts w:hint="eastAsia"/>
        </w:rPr>
        <w:t>在施工均匀性检测过程中，所设定的具有规定长度与宽度的独立矩形检测单元。</w:t>
      </w:r>
    </w:p>
    <w:p w14:paraId="68966226">
      <w:pPr>
        <w:pStyle w:val="105"/>
        <w:spacing w:before="312" w:after="312"/>
        <w:rPr>
          <w:szCs w:val="21"/>
        </w:rPr>
      </w:pPr>
      <w:bookmarkStart w:id="51" w:name="_Toc1662"/>
      <w:bookmarkStart w:id="52" w:name="_Toc32604"/>
      <w:r>
        <w:rPr>
          <w:rFonts w:hint="eastAsia"/>
          <w:szCs w:val="21"/>
        </w:rPr>
        <w:t>红外热像仪法沥青路面施工温度均匀性检测</w:t>
      </w:r>
      <w:bookmarkEnd w:id="51"/>
      <w:bookmarkEnd w:id="52"/>
    </w:p>
    <w:p w14:paraId="6483431F">
      <w:pPr>
        <w:pStyle w:val="106"/>
        <w:spacing w:before="156" w:after="156"/>
      </w:pPr>
      <w:bookmarkStart w:id="53" w:name="_Toc6676"/>
      <w:r>
        <w:rPr>
          <w:rFonts w:hint="eastAsia"/>
        </w:rPr>
        <w:t>原理</w:t>
      </w:r>
      <w:bookmarkEnd w:id="53"/>
    </w:p>
    <w:p w14:paraId="71DCC3C8">
      <w:pPr>
        <w:pStyle w:val="25"/>
        <w:ind w:firstLine="420" w:firstLineChars="200"/>
        <w:rPr>
          <w:rFonts w:hint="eastAsia" w:ascii="Times New Roman" w:hAnsi="Times New Roman"/>
          <w:sz w:val="21"/>
          <w:szCs w:val="20"/>
          <w:lang w:bidi="ar"/>
        </w:rPr>
      </w:pPr>
      <w:r>
        <w:rPr>
          <w:rFonts w:hint="eastAsia" w:ascii="Times New Roman" w:hAnsi="Times New Roman"/>
          <w:sz w:val="21"/>
          <w:szCs w:val="20"/>
          <w:lang w:bidi="ar"/>
        </w:rPr>
        <w:t>基于物体表面温度与其红外辐射能量之间的相关性，通过光学系统采集特定区域内物体表面的红外辐射信息，经过信号处理技术生成热图像，以直观方式展示施工过程中沥青路面表层温度分布，分析评价</w:t>
      </w:r>
      <w:r>
        <w:rPr>
          <w:rFonts w:hint="eastAsia" w:ascii="Times New Roman" w:hAnsi="Times New Roman"/>
          <w:sz w:val="21"/>
          <w:szCs w:val="20"/>
          <w:lang w:eastAsia="zh-CN" w:bidi="ar"/>
        </w:rPr>
        <w:t>沥青路面</w:t>
      </w:r>
      <w:r>
        <w:rPr>
          <w:rFonts w:hint="eastAsia" w:ascii="Times New Roman" w:hAnsi="Times New Roman"/>
          <w:sz w:val="21"/>
          <w:szCs w:val="20"/>
          <w:lang w:bidi="ar"/>
        </w:rPr>
        <w:t>施工温度均匀性。</w:t>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SEQ AMEqn \r \h \* MERGEFORMAT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SEQ AMSec \r 1 \h \* MERGEFORMAT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SEQ AMChap \h \* MERGEFORMAT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r>
        <w:rPr>
          <w:rFonts w:hint="eastAsia" w:ascii="Times New Roman" w:hAnsi="Times New Roman"/>
          <w:sz w:val="21"/>
          <w:szCs w:val="20"/>
          <w:lang w:bidi="ar"/>
        </w:rPr>
        <w:fldChar w:fldCharType="begin"/>
      </w:r>
      <w:r>
        <w:rPr>
          <w:rFonts w:hint="eastAsia" w:ascii="Times New Roman" w:hAnsi="Times New Roman"/>
          <w:sz w:val="21"/>
          <w:szCs w:val="20"/>
          <w:lang w:bidi="ar"/>
        </w:rPr>
        <w:instrText xml:space="preserve"> MACROBUTTON AMEditEquationSection2 </w:instrText>
      </w:r>
      <w:r>
        <w:rPr>
          <w:rFonts w:hint="eastAsia" w:ascii="Times New Roman" w:hAnsi="Times New Roman"/>
          <w:sz w:val="21"/>
          <w:szCs w:val="20"/>
          <w:lang w:bidi="ar"/>
        </w:rPr>
        <w:fldChar w:fldCharType="separate"/>
      </w:r>
      <w:r>
        <w:rPr>
          <w:rFonts w:hint="eastAsia" w:ascii="Times New Roman" w:hAnsi="Times New Roman"/>
          <w:sz w:val="21"/>
          <w:szCs w:val="20"/>
          <w:lang w:bidi="ar"/>
        </w:rPr>
        <w:fldChar w:fldCharType="end"/>
      </w:r>
    </w:p>
    <w:p w14:paraId="52B8FABC">
      <w:pPr>
        <w:pStyle w:val="106"/>
        <w:spacing w:before="156" w:after="156"/>
      </w:pPr>
      <w:bookmarkStart w:id="54" w:name="_Toc25332"/>
      <w:r>
        <w:rPr>
          <w:rFonts w:hint="eastAsia"/>
        </w:rPr>
        <w:t>仪器设备</w:t>
      </w:r>
      <w:bookmarkEnd w:id="54"/>
    </w:p>
    <w:p w14:paraId="77CF10BD">
      <w:pPr>
        <w:pStyle w:val="166"/>
        <w:rPr>
          <w:rFonts w:hint="eastAsia"/>
        </w:rPr>
      </w:pPr>
      <w:r>
        <w:rPr>
          <w:rFonts w:hint="eastAsia"/>
        </w:rPr>
        <w:t>红外</w:t>
      </w:r>
      <w:r>
        <w:rPr>
          <w:rFonts w:hint="eastAsia" w:ascii="Times New Roman" w:hAnsi="Times New Roman"/>
          <w:lang w:bidi="ar"/>
        </w:rPr>
        <w:t>热</w:t>
      </w:r>
      <w:r>
        <w:rPr>
          <w:rFonts w:hint="eastAsia"/>
        </w:rPr>
        <w:t>像仪</w:t>
      </w:r>
    </w:p>
    <w:p w14:paraId="23EEE30B">
      <w:pPr>
        <w:pStyle w:val="25"/>
        <w:ind w:firstLine="420" w:firstLineChars="200"/>
        <w:rPr>
          <w:rFonts w:ascii="Times New Roman" w:hAnsi="Times New Roman"/>
          <w:sz w:val="21"/>
          <w:szCs w:val="20"/>
          <w:lang w:bidi="ar"/>
        </w:rPr>
      </w:pPr>
      <w:r>
        <w:rPr>
          <w:rFonts w:hint="eastAsia" w:ascii="Times New Roman" w:hAnsi="Times New Roman"/>
          <w:sz w:val="21"/>
          <w:szCs w:val="20"/>
          <w:lang w:bidi="ar"/>
        </w:rPr>
        <w:t>红外热像仪应定期检查、校准和保养，硬件应满足以下要求：</w:t>
      </w:r>
    </w:p>
    <w:p w14:paraId="0A4D5B10">
      <w:pPr>
        <w:pStyle w:val="57"/>
      </w:pPr>
      <w:r>
        <w:rPr>
          <w:rFonts w:hint="eastAsia" w:hAnsi="宋体" w:cs="宋体"/>
        </w:rPr>
        <w:t>——</w:t>
      </w:r>
      <w:r>
        <w:rPr>
          <w:rFonts w:hint="eastAsia"/>
        </w:rPr>
        <w:t>测量范围：最高温度不应低于300℃；</w:t>
      </w:r>
    </w:p>
    <w:p w14:paraId="52883DB9">
      <w:pPr>
        <w:pStyle w:val="57"/>
      </w:pPr>
      <w:r>
        <w:rPr>
          <w:rFonts w:hint="eastAsia" w:hAnsi="宋体" w:cs="宋体"/>
        </w:rPr>
        <w:t>——</w:t>
      </w:r>
      <w:r>
        <w:rPr>
          <w:rFonts w:hint="eastAsia" w:hAnsi="宋体" w:cs="宋体"/>
          <w:lang w:val="en-US" w:eastAsia="zh-CN"/>
        </w:rPr>
        <w:t>热</w:t>
      </w:r>
      <w:r>
        <w:rPr>
          <w:rFonts w:hint="eastAsia"/>
        </w:rPr>
        <w:t>灵敏度：不小于</w:t>
      </w:r>
      <w:r>
        <w:rPr>
          <w:rFonts w:hint="eastAsia"/>
          <w:color w:val="auto"/>
        </w:rPr>
        <w:t>0.03℃@30℃</w:t>
      </w:r>
      <w:r>
        <w:rPr>
          <w:rFonts w:hint="eastAsia"/>
        </w:rPr>
        <w:t>；</w:t>
      </w:r>
    </w:p>
    <w:p w14:paraId="7CD23464">
      <w:pPr>
        <w:pStyle w:val="57"/>
      </w:pPr>
      <w:r>
        <w:rPr>
          <w:rFonts w:hint="eastAsia" w:hAnsi="宋体" w:cs="宋体"/>
        </w:rPr>
        <w:t>——</w:t>
      </w:r>
      <w:r>
        <w:rPr>
          <w:rFonts w:hint="eastAsia"/>
        </w:rPr>
        <w:t>精度：不低于±1℃；</w:t>
      </w:r>
    </w:p>
    <w:p w14:paraId="4209849C">
      <w:pPr>
        <w:pStyle w:val="57"/>
      </w:pPr>
      <w:r>
        <w:rPr>
          <w:rFonts w:hint="eastAsia" w:hAnsi="宋体" w:cs="宋体"/>
        </w:rPr>
        <w:t>——</w:t>
      </w:r>
      <w:r>
        <w:rPr>
          <w:rFonts w:hint="eastAsia"/>
        </w:rPr>
        <w:t>视域：</w:t>
      </w:r>
      <w:r>
        <w:rPr>
          <w:rFonts w:hint="eastAsia"/>
          <w:color w:val="auto"/>
        </w:rPr>
        <w:t>不小于22°（</w:t>
      </w:r>
      <w:r>
        <w:rPr>
          <w:rFonts w:hint="eastAsia"/>
          <w:color w:val="auto"/>
          <w:lang w:eastAsia="zh-CN"/>
        </w:rPr>
        <w:t>竖向</w:t>
      </w:r>
      <w:r>
        <w:rPr>
          <w:rFonts w:hint="eastAsia"/>
          <w:color w:val="auto"/>
        </w:rPr>
        <w:t>）×17°（</w:t>
      </w:r>
      <w:r>
        <w:rPr>
          <w:rFonts w:hint="eastAsia"/>
          <w:color w:val="auto"/>
          <w:lang w:eastAsia="zh-CN"/>
        </w:rPr>
        <w:t>横向</w:t>
      </w:r>
      <w:r>
        <w:rPr>
          <w:rFonts w:hint="eastAsia"/>
          <w:color w:val="auto"/>
        </w:rPr>
        <w:t>）</w:t>
      </w:r>
      <w:r>
        <w:rPr>
          <w:rFonts w:hint="eastAsia"/>
        </w:rPr>
        <w:t>。</w:t>
      </w:r>
    </w:p>
    <w:p w14:paraId="4EEC19F5">
      <w:pPr>
        <w:pStyle w:val="166"/>
        <w:rPr>
          <w:rFonts w:hint="eastAsia"/>
        </w:rPr>
      </w:pPr>
      <w:r>
        <w:rPr>
          <w:rFonts w:hint="eastAsia"/>
        </w:rPr>
        <w:t>施工温度均匀性定量分析软件</w:t>
      </w:r>
    </w:p>
    <w:p w14:paraId="642C338E">
      <w:pPr>
        <w:pStyle w:val="57"/>
        <w:rPr>
          <w:rFonts w:hint="eastAsia"/>
          <w:lang w:val="en-US" w:eastAsia="zh-CN"/>
        </w:rPr>
      </w:pPr>
      <w:r>
        <w:rPr>
          <w:rFonts w:hint="eastAsia"/>
          <w:lang w:val="en-US" w:eastAsia="zh-CN"/>
        </w:rPr>
        <w:t>施工温度均匀性定量分析软件宜包含以下功能：</w:t>
      </w:r>
    </w:p>
    <w:p w14:paraId="06FA3045">
      <w:pPr>
        <w:pStyle w:val="57"/>
        <w:rPr>
          <w:rFonts w:hint="eastAsia"/>
          <w:lang w:eastAsia="zh-CN"/>
        </w:rPr>
      </w:pPr>
      <w:r>
        <w:rPr>
          <w:rFonts w:hint="eastAsia" w:hAnsi="宋体" w:cs="宋体"/>
        </w:rPr>
        <w:t>——</w:t>
      </w:r>
      <w:r>
        <w:rPr>
          <w:rFonts w:hint="eastAsia"/>
        </w:rPr>
        <w:t>红外图像导入功能，双点矫正、盲点去除及直方拉伸等预处理功能</w:t>
      </w:r>
      <w:r>
        <w:rPr>
          <w:rFonts w:hint="eastAsia"/>
          <w:lang w:eastAsia="zh-CN"/>
        </w:rPr>
        <w:t>；</w:t>
      </w:r>
    </w:p>
    <w:p w14:paraId="350572A8">
      <w:pPr>
        <w:pStyle w:val="57"/>
        <w:rPr>
          <w:rFonts w:hint="eastAsia"/>
          <w:lang w:eastAsia="zh-CN"/>
        </w:rPr>
      </w:pPr>
      <w:r>
        <w:rPr>
          <w:rFonts w:hint="eastAsia" w:hAnsi="宋体" w:cs="宋体"/>
        </w:rPr>
        <w:t>——</w:t>
      </w:r>
      <w:r>
        <w:rPr>
          <w:rFonts w:hint="eastAsia"/>
        </w:rPr>
        <w:t>自动阈值选取、矩阵二值化等图像分割功能</w:t>
      </w:r>
      <w:r>
        <w:rPr>
          <w:rFonts w:hint="eastAsia"/>
          <w:lang w:eastAsia="zh-CN"/>
        </w:rPr>
        <w:t>；</w:t>
      </w:r>
    </w:p>
    <w:p w14:paraId="70E83642">
      <w:pPr>
        <w:pStyle w:val="57"/>
        <w:rPr>
          <w:rFonts w:hint="eastAsia"/>
          <w:lang w:val="en-US" w:eastAsia="zh-CN"/>
        </w:rPr>
      </w:pPr>
      <w:r>
        <w:rPr>
          <w:rFonts w:hint="eastAsia" w:hAnsi="宋体" w:cs="宋体"/>
        </w:rPr>
        <w:t>——</w:t>
      </w:r>
      <w:r>
        <w:rPr>
          <w:rFonts w:hint="eastAsia"/>
        </w:rPr>
        <w:t>环境温湿度、高度校正</w:t>
      </w:r>
      <w:r>
        <w:rPr>
          <w:rFonts w:hint="eastAsia"/>
          <w:lang w:val="en-US" w:eastAsia="zh-CN"/>
        </w:rPr>
        <w:t>等后处理功能；</w:t>
      </w:r>
    </w:p>
    <w:p w14:paraId="2CB2C4AA">
      <w:pPr>
        <w:pStyle w:val="57"/>
        <w:rPr>
          <w:rFonts w:hint="eastAsia"/>
          <w:lang w:val="en-US" w:eastAsia="zh-CN"/>
        </w:rPr>
      </w:pPr>
      <w:r>
        <w:rPr>
          <w:rFonts w:hint="eastAsia" w:hAnsi="宋体" w:cs="宋体"/>
        </w:rPr>
        <w:t>——</w:t>
      </w:r>
      <w:r>
        <w:rPr>
          <w:rFonts w:hint="eastAsia"/>
          <w:lang w:val="en-US" w:eastAsia="zh-CN"/>
        </w:rPr>
        <w:t>将图像温度场导出为</w:t>
      </w:r>
      <w:r>
        <w:rPr>
          <w:rFonts w:hint="eastAsia"/>
        </w:rPr>
        <w:t>表格或文本格式</w:t>
      </w:r>
      <w:r>
        <w:rPr>
          <w:rFonts w:hint="eastAsia"/>
          <w:lang w:val="en-US" w:eastAsia="zh-CN"/>
        </w:rPr>
        <w:t>的</w:t>
      </w:r>
      <w:r>
        <w:rPr>
          <w:rFonts w:hint="eastAsia"/>
        </w:rPr>
        <w:t>输出</w:t>
      </w:r>
      <w:r>
        <w:rPr>
          <w:rFonts w:hint="eastAsia"/>
          <w:lang w:val="en-US" w:eastAsia="zh-CN"/>
        </w:rPr>
        <w:t>功能</w:t>
      </w:r>
      <w:r>
        <w:rPr>
          <w:rFonts w:hint="eastAsia"/>
        </w:rPr>
        <w:t>。</w:t>
      </w:r>
    </w:p>
    <w:p w14:paraId="6B178329">
      <w:pPr>
        <w:pStyle w:val="106"/>
        <w:spacing w:before="156" w:after="156"/>
        <w:rPr>
          <w:color w:val="auto"/>
        </w:rPr>
      </w:pPr>
      <w:bookmarkStart w:id="55" w:name="_Toc15450"/>
      <w:r>
        <w:rPr>
          <w:rFonts w:hint="eastAsia"/>
          <w:color w:val="auto"/>
          <w:lang w:eastAsia="zh-CN"/>
        </w:rPr>
        <w:t>检测步骤与要求</w:t>
      </w:r>
      <w:bookmarkEnd w:id="55"/>
    </w:p>
    <w:p w14:paraId="220E7078">
      <w:pPr>
        <w:pStyle w:val="166"/>
        <w:rPr>
          <w:rFonts w:hint="eastAsia"/>
        </w:rPr>
      </w:pPr>
      <w:r>
        <w:rPr>
          <w:rFonts w:hint="eastAsia"/>
          <w:lang w:eastAsia="zh-CN"/>
        </w:rPr>
        <w:t>准备工作</w:t>
      </w:r>
    </w:p>
    <w:p w14:paraId="7B8B16B5">
      <w:pPr>
        <w:pStyle w:val="57"/>
        <w:rPr>
          <w:rFonts w:hint="default" w:eastAsia="宋体"/>
          <w:lang w:val="en-US" w:eastAsia="zh-CN"/>
        </w:rPr>
      </w:pPr>
      <w:r>
        <w:rPr>
          <w:rFonts w:hint="eastAsia"/>
          <w:lang w:val="en-US" w:eastAsia="zh-CN"/>
        </w:rPr>
        <w:t>准备工作应按以下步骤及要求进行：</w:t>
      </w:r>
    </w:p>
    <w:p w14:paraId="5E06FA82">
      <w:pPr>
        <w:pStyle w:val="57"/>
      </w:pPr>
      <w:r>
        <w:rPr>
          <w:rFonts w:hint="eastAsia"/>
        </w:rPr>
        <w:t>a）检测前应搜集路面结构及现状、沥青混合料原材料及配比、沥青路面施工方法及机械，检测时天气、温度、湿度、风力、风向等气象信息，及其他检测有关的资料并记录；</w:t>
      </w:r>
    </w:p>
    <w:p w14:paraId="7CEE206A">
      <w:pPr>
        <w:pStyle w:val="57"/>
        <w:rPr>
          <w:rFonts w:hint="eastAsia"/>
          <w:color w:val="auto"/>
        </w:rPr>
      </w:pPr>
      <w:r>
        <w:rPr>
          <w:rFonts w:hint="eastAsia"/>
          <w:color w:val="auto"/>
          <w:lang w:val="en-US" w:eastAsia="zh-CN"/>
        </w:rPr>
        <w:t>b</w:t>
      </w:r>
      <w:r>
        <w:rPr>
          <w:rFonts w:hint="eastAsia"/>
          <w:color w:val="auto"/>
        </w:rPr>
        <w:t>）将待检区域划分为若干标准检测区域</w:t>
      </w:r>
      <w:r>
        <w:rPr>
          <w:rFonts w:hint="eastAsia"/>
          <w:color w:val="auto"/>
          <w:lang w:eastAsia="zh-CN"/>
        </w:rPr>
        <w:t>，标准检测区域横向宜覆盖待测路段整个横断面，横断面过宽时可进行等分分段，但不应大于3段，标准检测区域纵向</w:t>
      </w:r>
      <w:r>
        <w:rPr>
          <w:rFonts w:hint="eastAsia"/>
          <w:color w:val="auto"/>
          <w:lang w:val="en-US" w:eastAsia="zh-CN"/>
        </w:rPr>
        <w:t>长度</w:t>
      </w:r>
      <w:r>
        <w:rPr>
          <w:rFonts w:hint="eastAsia"/>
          <w:color w:val="auto"/>
          <w:lang w:eastAsia="zh-CN"/>
        </w:rPr>
        <w:t>宜设定为横向</w:t>
      </w:r>
      <w:r>
        <w:rPr>
          <w:rFonts w:hint="eastAsia"/>
          <w:color w:val="auto"/>
          <w:lang w:val="en-US" w:eastAsia="zh-CN"/>
        </w:rPr>
        <w:t>长度</w:t>
      </w:r>
      <w:r>
        <w:rPr>
          <w:rFonts w:hint="eastAsia"/>
          <w:color w:val="auto"/>
          <w:lang w:eastAsia="zh-CN"/>
        </w:rPr>
        <w:t>的1</w:t>
      </w:r>
      <w:r>
        <w:rPr>
          <w:rFonts w:hint="default" w:ascii="Times New Roman" w:hAnsi="Times New Roman" w:cs="Times New Roman"/>
          <w:color w:val="auto"/>
          <w:lang w:val="en-US" w:eastAsia="zh-CN"/>
        </w:rPr>
        <w:t>~</w:t>
      </w:r>
      <w:r>
        <w:rPr>
          <w:rFonts w:hint="eastAsia"/>
          <w:color w:val="auto"/>
          <w:lang w:eastAsia="zh-CN"/>
        </w:rPr>
        <w:t>3倍</w:t>
      </w:r>
      <w:r>
        <w:rPr>
          <w:rFonts w:hint="eastAsia"/>
          <w:color w:val="auto"/>
        </w:rPr>
        <w:t>；</w:t>
      </w:r>
    </w:p>
    <w:p w14:paraId="1467664D">
      <w:pPr>
        <w:pStyle w:val="57"/>
        <w:rPr>
          <w:rFonts w:hint="eastAsia" w:eastAsia="宋体"/>
          <w:color w:val="auto"/>
          <w:lang w:eastAsia="zh-CN"/>
        </w:rPr>
      </w:pPr>
      <w:r>
        <w:rPr>
          <w:rFonts w:hint="eastAsia"/>
          <w:color w:val="auto"/>
          <w:lang w:val="en-US" w:eastAsia="zh-CN"/>
        </w:rPr>
        <w:t>c</w:t>
      </w:r>
      <w:r>
        <w:rPr>
          <w:rFonts w:hint="eastAsia"/>
          <w:color w:val="auto"/>
        </w:rPr>
        <w:t>）准确记录检测时间，施工步骤节点，检测区域位置，红外热像仪位置、发射率、拍摄角度等参数信息</w:t>
      </w:r>
      <w:r>
        <w:rPr>
          <w:rFonts w:hint="eastAsia"/>
          <w:color w:val="auto"/>
          <w:lang w:eastAsia="zh-CN"/>
        </w:rPr>
        <w:t>；</w:t>
      </w:r>
    </w:p>
    <w:p w14:paraId="7AD04449">
      <w:pPr>
        <w:pStyle w:val="57"/>
        <w:rPr>
          <w:rFonts w:hint="eastAsia" w:eastAsia="宋体"/>
          <w:color w:val="auto"/>
          <w:lang w:eastAsia="zh-CN"/>
        </w:rPr>
      </w:pPr>
      <w:r>
        <w:rPr>
          <w:rFonts w:hint="eastAsia"/>
          <w:color w:val="auto"/>
          <w:lang w:val="en-US" w:eastAsia="zh-CN"/>
        </w:rPr>
        <w:t>d</w:t>
      </w:r>
      <w:r>
        <w:rPr>
          <w:rFonts w:hint="eastAsia"/>
          <w:color w:val="auto"/>
        </w:rPr>
        <w:t>）开机预热，按照设备说明书</w:t>
      </w:r>
      <w:r>
        <w:rPr>
          <w:rFonts w:hint="eastAsia"/>
          <w:color w:val="auto"/>
          <w:lang w:eastAsia="zh-CN"/>
        </w:rPr>
        <w:t>进行仪器</w:t>
      </w:r>
      <w:r>
        <w:rPr>
          <w:rFonts w:hint="eastAsia"/>
          <w:color w:val="auto"/>
        </w:rPr>
        <w:t>调试</w:t>
      </w:r>
      <w:r>
        <w:rPr>
          <w:rFonts w:hint="eastAsia"/>
          <w:color w:val="auto"/>
          <w:lang w:eastAsia="zh-CN"/>
        </w:rPr>
        <w:t>校准。</w:t>
      </w:r>
    </w:p>
    <w:p w14:paraId="463FF912">
      <w:pPr>
        <w:pStyle w:val="166"/>
        <w:rPr>
          <w:rFonts w:hint="eastAsia"/>
        </w:rPr>
      </w:pPr>
      <w:r>
        <w:rPr>
          <w:rFonts w:hint="eastAsia"/>
        </w:rPr>
        <w:t>红外热像仪温度准确性标定</w:t>
      </w:r>
    </w:p>
    <w:p w14:paraId="47BA5E5D">
      <w:pPr>
        <w:pStyle w:val="166"/>
        <w:numPr>
          <w:ilvl w:val="3"/>
          <w:numId w:val="0"/>
        </w:numPr>
        <w:ind w:firstLine="420" w:firstLineChars="200"/>
        <w:rPr>
          <w:rFonts w:hint="eastAsia"/>
        </w:rPr>
      </w:pPr>
      <w:r>
        <w:rPr>
          <w:rFonts w:hint="eastAsia"/>
        </w:rPr>
        <w:t>红外热像仪温度准确性标定应</w:t>
      </w:r>
      <w:r>
        <w:rPr>
          <w:rFonts w:hint="eastAsia"/>
          <w:lang w:eastAsia="zh-CN"/>
        </w:rPr>
        <w:t>按</w:t>
      </w:r>
      <w:r>
        <w:rPr>
          <w:rFonts w:hint="eastAsia"/>
        </w:rPr>
        <w:t>以下</w:t>
      </w:r>
      <w:r>
        <w:rPr>
          <w:rFonts w:hint="eastAsia"/>
          <w:lang w:eastAsia="zh-CN"/>
        </w:rPr>
        <w:t>步骤及要求进行</w:t>
      </w:r>
      <w:r>
        <w:rPr>
          <w:rFonts w:hint="eastAsia"/>
        </w:rPr>
        <w:t>：</w:t>
      </w:r>
    </w:p>
    <w:p w14:paraId="7C843D4D">
      <w:pPr>
        <w:pStyle w:val="57"/>
      </w:pPr>
      <w:r>
        <w:rPr>
          <w:rFonts w:hint="eastAsia"/>
        </w:rPr>
        <w:t>a）每次检测之前，在现场选定不少于3个标志物体，使用红外热像仪与插入式温度计或非插入式红外温度计进行温度准确性验证，确保误差不大于5%；</w:t>
      </w:r>
    </w:p>
    <w:p w14:paraId="6D02BE04">
      <w:pPr>
        <w:pStyle w:val="57"/>
      </w:pPr>
      <w:r>
        <w:rPr>
          <w:rFonts w:hint="eastAsia"/>
          <w:lang w:val="en-US" w:eastAsia="zh-CN"/>
        </w:rPr>
        <w:t>b</w:t>
      </w:r>
      <w:r>
        <w:rPr>
          <w:rFonts w:hint="eastAsia"/>
        </w:rPr>
        <w:t>）对同一目标区域进行重复性验证，测试次数不应小于5次，变异系数不应大于5%</w:t>
      </w:r>
      <w:r>
        <w:rPr>
          <w:rFonts w:hint="eastAsia"/>
          <w:lang w:eastAsia="zh-CN"/>
        </w:rPr>
        <w:t>，</w:t>
      </w:r>
      <w:r>
        <w:rPr>
          <w:rFonts w:hint="eastAsia"/>
        </w:rPr>
        <w:t>如不满足要求，</w:t>
      </w:r>
      <w:r>
        <w:rPr>
          <w:rFonts w:hint="eastAsia"/>
          <w:lang w:val="en-US" w:eastAsia="zh-CN"/>
        </w:rPr>
        <w:t>应</w:t>
      </w:r>
      <w:r>
        <w:rPr>
          <w:rFonts w:hint="eastAsia"/>
        </w:rPr>
        <w:t>修改发射率等参数，重新进行温度准确性验证，直到满足为止。</w:t>
      </w:r>
    </w:p>
    <w:p w14:paraId="6ABFF0AE">
      <w:pPr>
        <w:pStyle w:val="166"/>
        <w:rPr>
          <w:rFonts w:hint="eastAsia"/>
        </w:rPr>
      </w:pPr>
      <w:r>
        <w:rPr>
          <w:rFonts w:hint="eastAsia"/>
        </w:rPr>
        <w:t>标准</w:t>
      </w:r>
      <w:r>
        <w:rPr>
          <w:rFonts w:hint="eastAsia" w:ascii="Times New Roman" w:hAnsi="Times New Roman"/>
          <w:lang w:bidi="ar"/>
        </w:rPr>
        <w:t>检测</w:t>
      </w:r>
      <w:r>
        <w:rPr>
          <w:rFonts w:hint="eastAsia"/>
        </w:rPr>
        <w:t>区域图像准确性标定</w:t>
      </w:r>
    </w:p>
    <w:p w14:paraId="336C89FD">
      <w:pPr>
        <w:pStyle w:val="166"/>
        <w:numPr>
          <w:ilvl w:val="3"/>
          <w:numId w:val="0"/>
        </w:numPr>
        <w:ind w:firstLine="420" w:firstLineChars="200"/>
        <w:rPr>
          <w:rFonts w:hint="eastAsia"/>
        </w:rPr>
      </w:pPr>
      <w:r>
        <w:rPr>
          <w:rFonts w:hint="eastAsia"/>
        </w:rPr>
        <w:t>标准</w:t>
      </w:r>
      <w:r>
        <w:rPr>
          <w:rFonts w:hint="eastAsia" w:ascii="Times New Roman" w:hAnsi="Times New Roman"/>
          <w:lang w:bidi="ar"/>
        </w:rPr>
        <w:t>检测</w:t>
      </w:r>
      <w:r>
        <w:rPr>
          <w:rFonts w:hint="eastAsia"/>
        </w:rPr>
        <w:t>区域图像准确性标定应</w:t>
      </w:r>
      <w:r>
        <w:rPr>
          <w:rFonts w:hint="eastAsia"/>
          <w:lang w:eastAsia="zh-CN"/>
        </w:rPr>
        <w:t>按</w:t>
      </w:r>
      <w:r>
        <w:rPr>
          <w:rFonts w:hint="eastAsia"/>
        </w:rPr>
        <w:t>以下</w:t>
      </w:r>
      <w:r>
        <w:rPr>
          <w:rFonts w:hint="eastAsia"/>
          <w:lang w:eastAsia="zh-CN"/>
        </w:rPr>
        <w:t>步骤及要求进行</w:t>
      </w:r>
      <w:r>
        <w:rPr>
          <w:rFonts w:hint="eastAsia"/>
        </w:rPr>
        <w:t>：</w:t>
      </w:r>
    </w:p>
    <w:p w14:paraId="78116790">
      <w:pPr>
        <w:pStyle w:val="57"/>
        <w:rPr>
          <w:rFonts w:hint="eastAsia"/>
        </w:rPr>
      </w:pPr>
      <w:r>
        <w:rPr>
          <w:rFonts w:hint="eastAsia"/>
        </w:rPr>
        <w:t>a）</w:t>
      </w:r>
      <w:r>
        <w:rPr>
          <w:rFonts w:hint="eastAsia"/>
          <w:lang w:val="en-US" w:eastAsia="zh-CN"/>
        </w:rPr>
        <w:t>进行标定的标准检测区域应不少于3个；</w:t>
      </w:r>
    </w:p>
    <w:p w14:paraId="105CB08E">
      <w:pPr>
        <w:pStyle w:val="57"/>
      </w:pPr>
      <w:r>
        <w:rPr>
          <w:rFonts w:hint="eastAsia"/>
          <w:lang w:val="en-US" w:eastAsia="zh-CN"/>
        </w:rPr>
        <w:t>b</w:t>
      </w:r>
      <w:r>
        <w:rPr>
          <w:rFonts w:hint="eastAsia"/>
        </w:rPr>
        <w:t>）利用卷尺或测距轮测量标准区域边界，精度至0.1m，标准检测区域边界可布置定位锥筒或其它明显定位标志；</w:t>
      </w:r>
    </w:p>
    <w:p w14:paraId="0DEFA394">
      <w:pPr>
        <w:pStyle w:val="57"/>
      </w:pPr>
      <w:r>
        <w:rPr>
          <w:rFonts w:hint="eastAsia"/>
          <w:lang w:val="en-US" w:eastAsia="zh-CN"/>
        </w:rPr>
        <w:t>c</w:t>
      </w:r>
      <w:r>
        <w:rPr>
          <w:rFonts w:hint="eastAsia"/>
        </w:rPr>
        <w:t>）架设红外热像仪，并固定</w:t>
      </w:r>
      <w:r>
        <w:rPr>
          <w:rFonts w:hint="eastAsia"/>
          <w:lang w:val="en-US" w:eastAsia="zh-CN"/>
        </w:rPr>
        <w:t>于</w:t>
      </w:r>
      <w:r>
        <w:rPr>
          <w:rFonts w:hint="eastAsia"/>
        </w:rPr>
        <w:t>三角支架上，平行移动三角支架并调整拍摄角度，使得待</w:t>
      </w:r>
      <w:r>
        <w:rPr>
          <w:rFonts w:hint="eastAsia"/>
          <w:lang w:val="en-US" w:eastAsia="zh-CN"/>
        </w:rPr>
        <w:t>标定</w:t>
      </w:r>
      <w:r>
        <w:rPr>
          <w:rFonts w:hint="eastAsia"/>
        </w:rPr>
        <w:t>的标准检测区域全部在红外图像之内，</w:t>
      </w:r>
      <w:r>
        <w:rPr>
          <w:rFonts w:hint="eastAsia"/>
          <w:lang w:val="en-US" w:eastAsia="zh-CN"/>
        </w:rPr>
        <w:t>宜占据图像可用区域的70%以上</w:t>
      </w:r>
      <w:r>
        <w:rPr>
          <w:rFonts w:hint="eastAsia"/>
        </w:rPr>
        <w:t>。</w:t>
      </w:r>
    </w:p>
    <w:p w14:paraId="4BA684CE">
      <w:pPr>
        <w:pStyle w:val="166"/>
        <w:rPr>
          <w:rFonts w:hint="eastAsia"/>
        </w:rPr>
      </w:pPr>
      <w:r>
        <w:rPr>
          <w:rFonts w:hint="eastAsia"/>
          <w:lang w:eastAsia="zh-CN"/>
        </w:rPr>
        <w:t>检测过程</w:t>
      </w:r>
    </w:p>
    <w:p w14:paraId="7A98A15E">
      <w:pPr>
        <w:pStyle w:val="166"/>
        <w:numPr>
          <w:ilvl w:val="3"/>
          <w:numId w:val="0"/>
        </w:numPr>
        <w:ind w:firstLine="420" w:firstLineChars="200"/>
        <w:rPr>
          <w:rFonts w:hint="eastAsia"/>
        </w:rPr>
      </w:pPr>
      <w:r>
        <w:rPr>
          <w:rFonts w:hint="eastAsia"/>
        </w:rPr>
        <w:t>检测</w:t>
      </w:r>
      <w:r>
        <w:rPr>
          <w:rFonts w:hint="eastAsia" w:ascii="Times New Roman" w:hAnsi="Times New Roman"/>
          <w:lang w:bidi="ar"/>
        </w:rPr>
        <w:t>过程</w:t>
      </w:r>
      <w:r>
        <w:rPr>
          <w:rFonts w:hint="eastAsia"/>
        </w:rPr>
        <w:t>应</w:t>
      </w:r>
      <w:r>
        <w:rPr>
          <w:rFonts w:hint="eastAsia"/>
          <w:lang w:eastAsia="zh-CN"/>
        </w:rPr>
        <w:t>按</w:t>
      </w:r>
      <w:r>
        <w:rPr>
          <w:rFonts w:hint="eastAsia"/>
        </w:rPr>
        <w:t>以下</w:t>
      </w:r>
      <w:r>
        <w:rPr>
          <w:rFonts w:hint="eastAsia"/>
          <w:lang w:eastAsia="zh-CN"/>
        </w:rPr>
        <w:t>步骤及要求进行</w:t>
      </w:r>
      <w:r>
        <w:rPr>
          <w:rFonts w:hint="eastAsia"/>
        </w:rPr>
        <w:t>：</w:t>
      </w:r>
    </w:p>
    <w:p w14:paraId="586DA40C">
      <w:pPr>
        <w:pStyle w:val="57"/>
      </w:pPr>
      <w:r>
        <w:rPr>
          <w:rFonts w:hint="eastAsia"/>
        </w:rPr>
        <w:t>a）在摊铺过程中，运输车向摊铺机卸料时，</w:t>
      </w:r>
      <w:r>
        <w:rPr>
          <w:rFonts w:hint="eastAsia"/>
          <w:lang w:val="en-US" w:eastAsia="zh-CN"/>
        </w:rPr>
        <w:t>检测</w:t>
      </w:r>
      <w:r>
        <w:rPr>
          <w:rFonts w:hint="eastAsia"/>
        </w:rPr>
        <w:t>整个料车中的温度场；</w:t>
      </w:r>
    </w:p>
    <w:p w14:paraId="4DB8B6EE">
      <w:pPr>
        <w:pStyle w:val="57"/>
      </w:pPr>
      <w:r>
        <w:rPr>
          <w:rFonts w:hint="eastAsia"/>
        </w:rPr>
        <w:t>b）摊铺温度应每车</w:t>
      </w:r>
      <w:r>
        <w:rPr>
          <w:rFonts w:hint="eastAsia"/>
          <w:lang w:val="en-US" w:eastAsia="zh-CN"/>
        </w:rPr>
        <w:t>检测</w:t>
      </w:r>
      <w:r>
        <w:rPr>
          <w:rFonts w:hint="eastAsia"/>
        </w:rPr>
        <w:t>一次</w:t>
      </w:r>
      <w:r>
        <w:rPr>
          <w:rFonts w:hint="eastAsia"/>
          <w:lang w:eastAsia="zh-CN"/>
        </w:rPr>
        <w:t>，</w:t>
      </w:r>
      <w:r>
        <w:rPr>
          <w:rFonts w:hint="eastAsia"/>
          <w:lang w:val="en-US" w:eastAsia="zh-CN"/>
        </w:rPr>
        <w:t>红外图像应覆盖螺旋布料器及部分新铺路面</w:t>
      </w:r>
      <w:r>
        <w:rPr>
          <w:rFonts w:hint="eastAsia"/>
        </w:rPr>
        <w:t>；</w:t>
      </w:r>
    </w:p>
    <w:p w14:paraId="07C3A231">
      <w:pPr>
        <w:pStyle w:val="57"/>
        <w:rPr>
          <w:rFonts w:hint="eastAsia" w:eastAsia="宋体"/>
          <w:lang w:eastAsia="zh-CN"/>
        </w:rPr>
      </w:pPr>
      <w:r>
        <w:rPr>
          <w:rFonts w:hint="eastAsia"/>
        </w:rPr>
        <w:t>c）在碾压过程中，温度均匀性检测应涵盖初压、复压及终压全过程，可固定同一标准检测区域，检测不同碾压阶段的温度场</w:t>
      </w:r>
      <w:r>
        <w:rPr>
          <w:rFonts w:hint="eastAsia"/>
          <w:lang w:eastAsia="zh-CN"/>
        </w:rPr>
        <w:t>，</w:t>
      </w:r>
      <w:r>
        <w:rPr>
          <w:rFonts w:hint="eastAsia"/>
        </w:rPr>
        <w:t>亦可采取均匀法、随机法、连续法等检测方式检测同一碾压阶段不同检测区域温度场</w:t>
      </w:r>
      <w:r>
        <w:rPr>
          <w:rFonts w:hint="eastAsia"/>
          <w:lang w:eastAsia="zh-CN"/>
        </w:rPr>
        <w:t>，</w:t>
      </w:r>
      <w:r>
        <w:rPr>
          <w:rFonts w:hint="eastAsia"/>
        </w:rPr>
        <w:t>终压结束后，最终温度均匀性检测应覆盖整幅路面</w:t>
      </w:r>
      <w:r>
        <w:rPr>
          <w:rFonts w:hint="eastAsia"/>
          <w:lang w:eastAsia="zh-CN"/>
        </w:rPr>
        <w:t>；</w:t>
      </w:r>
    </w:p>
    <w:p w14:paraId="4D14366D">
      <w:pPr>
        <w:pStyle w:val="57"/>
        <w:rPr>
          <w:rFonts w:hint="eastAsia" w:eastAsia="宋体"/>
          <w:lang w:eastAsia="zh-CN"/>
        </w:rPr>
      </w:pPr>
      <w:r>
        <w:rPr>
          <w:rFonts w:hint="eastAsia"/>
        </w:rPr>
        <w:t>d）</w:t>
      </w:r>
      <w:r>
        <w:rPr>
          <w:rFonts w:hint="eastAsia"/>
          <w:lang w:val="en-US" w:eastAsia="zh-CN"/>
        </w:rPr>
        <w:t>检测</w:t>
      </w:r>
      <w:r>
        <w:rPr>
          <w:rFonts w:hint="eastAsia"/>
        </w:rPr>
        <w:t>时，采用红外热像仪对准测试的区域，</w:t>
      </w:r>
      <w:r>
        <w:rPr>
          <w:rFonts w:hint="eastAsia"/>
          <w:lang w:val="en-US" w:eastAsia="zh-CN"/>
        </w:rPr>
        <w:t>以</w:t>
      </w:r>
      <w:r>
        <w:rPr>
          <w:rFonts w:hint="eastAsia"/>
        </w:rPr>
        <w:t>温度场图片形式保存数据，同时记录最高温度，最低温度</w:t>
      </w:r>
      <w:r>
        <w:rPr>
          <w:rFonts w:hint="eastAsia"/>
          <w:lang w:eastAsia="zh-CN"/>
        </w:rPr>
        <w:t>；</w:t>
      </w:r>
    </w:p>
    <w:p w14:paraId="33D182F9">
      <w:pPr>
        <w:pStyle w:val="57"/>
        <w:rPr>
          <w:rFonts w:hint="eastAsia"/>
          <w:lang w:eastAsia="zh-CN"/>
        </w:rPr>
      </w:pPr>
      <w:r>
        <w:rPr>
          <w:rFonts w:hint="eastAsia"/>
        </w:rPr>
        <w:t>e）检测过程中</w:t>
      </w:r>
      <w:r>
        <w:rPr>
          <w:rFonts w:hint="eastAsia"/>
          <w:lang w:eastAsia="zh-CN"/>
        </w:rPr>
        <w:t>宜</w:t>
      </w:r>
      <w:r>
        <w:rPr>
          <w:rFonts w:hint="eastAsia"/>
        </w:rPr>
        <w:t>保证图片中不出现与待检测路面无关的人、物及其阴影等干扰</w:t>
      </w:r>
      <w:r>
        <w:rPr>
          <w:rFonts w:hint="eastAsia"/>
          <w:lang w:eastAsia="zh-CN"/>
        </w:rPr>
        <w:t>；</w:t>
      </w:r>
    </w:p>
    <w:p w14:paraId="6ECB7444">
      <w:pPr>
        <w:pStyle w:val="57"/>
        <w:rPr>
          <w:rFonts w:hint="default"/>
          <w:lang w:val="en-US" w:eastAsia="zh-CN"/>
        </w:rPr>
      </w:pPr>
      <w:r>
        <w:rPr>
          <w:rFonts w:hint="eastAsia"/>
          <w:lang w:val="en-US" w:eastAsia="zh-CN"/>
        </w:rPr>
        <w:t>f）</w:t>
      </w:r>
      <w:r>
        <w:rPr>
          <w:rFonts w:hint="eastAsia"/>
        </w:rPr>
        <w:t>检测</w:t>
      </w:r>
      <w:r>
        <w:rPr>
          <w:rFonts w:hint="eastAsia" w:ascii="Times New Roman" w:hAnsi="Times New Roman"/>
          <w:lang w:bidi="ar"/>
        </w:rPr>
        <w:t>过程</w:t>
      </w:r>
      <w:r>
        <w:rPr>
          <w:rFonts w:hint="eastAsia"/>
        </w:rPr>
        <w:t>中</w:t>
      </w:r>
      <w:r>
        <w:rPr>
          <w:rFonts w:hint="eastAsia"/>
          <w:lang w:val="en-US" w:eastAsia="zh-CN"/>
        </w:rPr>
        <w:t>应保证红外热像仪的高度，摄像头角度及拍摄参数不变，如改变，应重新记录并进行标准检测区域图像准确性验证。</w:t>
      </w:r>
    </w:p>
    <w:p w14:paraId="49801244">
      <w:pPr>
        <w:pStyle w:val="106"/>
        <w:spacing w:before="156" w:after="156"/>
      </w:pPr>
      <w:bookmarkStart w:id="56" w:name="_Toc5955"/>
      <w:r>
        <w:rPr>
          <w:rFonts w:hint="eastAsia"/>
        </w:rPr>
        <w:t>数据处理</w:t>
      </w:r>
      <w:bookmarkEnd w:id="56"/>
    </w:p>
    <w:p w14:paraId="29802566">
      <w:pPr>
        <w:pStyle w:val="166"/>
        <w:rPr>
          <w:rFonts w:hint="eastAsia"/>
        </w:rPr>
      </w:pPr>
      <w:r>
        <w:rPr>
          <w:rFonts w:hint="eastAsia"/>
        </w:rPr>
        <w:t>检测工作结束之后，应及时备份原始检测数据，并根据现场检测工作记录核实原始检测数据的有效性、完整性；</w:t>
      </w:r>
    </w:p>
    <w:p w14:paraId="7FE04DA8">
      <w:pPr>
        <w:pStyle w:val="166"/>
        <w:rPr>
          <w:rFonts w:hint="eastAsia"/>
        </w:rPr>
      </w:pPr>
      <w:r>
        <w:rPr>
          <w:rFonts w:hint="eastAsia"/>
        </w:rPr>
        <w:t>原始</w:t>
      </w:r>
      <w:r>
        <w:rPr>
          <w:rFonts w:hint="eastAsia" w:ascii="Times New Roman" w:hAnsi="Times New Roman"/>
          <w:lang w:bidi="ar"/>
        </w:rPr>
        <w:t>数据</w:t>
      </w:r>
      <w:r>
        <w:rPr>
          <w:rFonts w:hint="eastAsia"/>
        </w:rPr>
        <w:t>为包括温度场信息的8位或16位的单通道或三通道图片形式，以及与之对应的可见光三通道图片，图片文件名应包含检测地点、车道、施工步骤、时间等信息；</w:t>
      </w:r>
    </w:p>
    <w:p w14:paraId="01F6860A">
      <w:pPr>
        <w:pStyle w:val="166"/>
        <w:rPr>
          <w:rFonts w:hint="eastAsia"/>
        </w:rPr>
      </w:pPr>
      <w:r>
        <w:rPr>
          <w:rFonts w:hint="eastAsia"/>
        </w:rPr>
        <w:t>原始数据通过软件分割、预处理、校正后以表格或文本格式输出图像温度场数据；</w:t>
      </w:r>
    </w:p>
    <w:p w14:paraId="2CC8AB24">
      <w:pPr>
        <w:pStyle w:val="166"/>
        <w:rPr>
          <w:rFonts w:hint="eastAsia"/>
        </w:rPr>
      </w:pPr>
      <w:r>
        <w:rPr>
          <w:rFonts w:hint="eastAsia"/>
        </w:rPr>
        <w:t>计算</w:t>
      </w:r>
      <w:r>
        <w:rPr>
          <w:rFonts w:hint="eastAsia" w:ascii="Times New Roman" w:hAnsi="Times New Roman"/>
          <w:lang w:bidi="ar"/>
        </w:rPr>
        <w:t>测试</w:t>
      </w:r>
      <w:r>
        <w:rPr>
          <w:rFonts w:hint="eastAsia"/>
        </w:rPr>
        <w:t>结果平均值及标准差，并按照3倍标准差方法进行异常值处理，舍弃平均值左右3倍标准差范围以外的实测值，然后再重新计算整理；</w:t>
      </w:r>
    </w:p>
    <w:p w14:paraId="21111E39">
      <w:pPr>
        <w:pStyle w:val="166"/>
        <w:rPr>
          <w:rFonts w:hint="eastAsia"/>
        </w:rPr>
      </w:pPr>
      <w:r>
        <w:rPr>
          <w:rFonts w:hint="eastAsia"/>
        </w:rPr>
        <w:t>绘制温度场</w:t>
      </w:r>
      <w:r>
        <w:rPr>
          <w:rFonts w:hint="eastAsia" w:ascii="Times New Roman" w:hAnsi="Times New Roman"/>
          <w:lang w:bidi="ar"/>
        </w:rPr>
        <w:t>云图</w:t>
      </w:r>
      <w:r>
        <w:rPr>
          <w:rFonts w:hint="eastAsia"/>
        </w:rPr>
        <w:t>，按</w:t>
      </w:r>
      <w:r>
        <w:rPr>
          <w:rFonts w:hint="eastAsia"/>
          <w:lang w:val="en-US" w:eastAsia="zh-CN"/>
        </w:rPr>
        <w:t>照</w:t>
      </w:r>
      <w:r>
        <w:rPr>
          <w:rFonts w:hint="eastAsia"/>
        </w:rPr>
        <w:t>公式（</w:t>
      </w:r>
      <w:r>
        <w:rPr>
          <w:rFonts w:hint="eastAsia"/>
          <w:lang w:val="en-US" w:eastAsia="zh-CN"/>
        </w:rPr>
        <w:t>1</w:t>
      </w:r>
      <w:r>
        <w:rPr>
          <w:rFonts w:hint="eastAsia"/>
        </w:rPr>
        <w:t>）计算温度极差，</w:t>
      </w:r>
      <w:r>
        <w:rPr>
          <w:rFonts w:hint="eastAsia"/>
          <w:lang w:val="en-US" w:eastAsia="zh-CN"/>
        </w:rPr>
        <w:t>按照</w:t>
      </w:r>
      <w:r>
        <w:rPr>
          <w:rFonts w:hint="eastAsia"/>
        </w:rPr>
        <w:t>公式（</w:t>
      </w:r>
      <w:r>
        <w:rPr>
          <w:rFonts w:hint="eastAsia"/>
          <w:lang w:val="en-US" w:eastAsia="zh-CN"/>
        </w:rPr>
        <w:t>2</w:t>
      </w:r>
      <w:r>
        <w:rPr>
          <w:rFonts w:hint="eastAsia"/>
        </w:rPr>
        <w:t>）</w:t>
      </w:r>
      <w:r>
        <w:rPr>
          <w:rFonts w:hint="eastAsia"/>
          <w:lang w:val="en-US" w:eastAsia="zh-CN"/>
        </w:rPr>
        <w:t>及</w:t>
      </w:r>
      <w:r>
        <w:rPr>
          <w:rFonts w:hint="eastAsia"/>
        </w:rPr>
        <w:t>公式（</w:t>
      </w:r>
      <w:r>
        <w:rPr>
          <w:rFonts w:hint="eastAsia"/>
          <w:lang w:val="en-US" w:eastAsia="zh-CN"/>
        </w:rPr>
        <w:t>3</w:t>
      </w:r>
      <w:r>
        <w:rPr>
          <w:rFonts w:hint="eastAsia"/>
        </w:rPr>
        <w:t>）计算温差系数，变异系数，</w:t>
      </w:r>
      <w:r>
        <w:rPr>
          <w:rFonts w:hint="eastAsia"/>
          <w:lang w:val="en-US" w:eastAsia="zh-CN"/>
        </w:rPr>
        <w:t>按照公式（4）计算</w:t>
      </w:r>
      <w:r>
        <w:rPr>
          <w:rFonts w:hint="eastAsia"/>
        </w:rPr>
        <w:t>低温区域面积系数，</w:t>
      </w:r>
      <w:r>
        <w:rPr>
          <w:rFonts w:hint="eastAsia"/>
          <w:lang w:val="en-US" w:eastAsia="zh-CN"/>
        </w:rPr>
        <w:t>按照公式（5）计算</w:t>
      </w:r>
      <w:r>
        <w:rPr>
          <w:rFonts w:hint="eastAsia"/>
        </w:rPr>
        <w:t>低温区域分布系数</w:t>
      </w:r>
      <w:r>
        <w:rPr>
          <w:rFonts w:hint="eastAsia"/>
          <w:lang w:eastAsia="zh-CN"/>
        </w:rPr>
        <w:t>。</w:t>
      </w:r>
    </w:p>
    <w:p w14:paraId="04A254B5">
      <w:pPr>
        <w:pStyle w:val="57"/>
        <w:jc w:val="right"/>
        <w:rPr>
          <w:rFonts w:hint="eastAsia"/>
          <w:sz w:val="28"/>
          <w:szCs w:val="24"/>
        </w:rPr>
      </w:pPr>
      <m:oMath>
        <m:r>
          <m:rPr/>
          <w:rPr>
            <w:rFonts w:ascii="Cambria Math" w:hAnsi="Cambria Math"/>
          </w:rPr>
          <m:t>R=</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max</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min</m:t>
            </m:r>
            <m:ctrlPr>
              <w:rPr>
                <w:rFonts w:ascii="Cambria Math" w:hAnsi="Cambria Math"/>
              </w:rPr>
            </m:ctrlPr>
          </m:sub>
        </m:sSub>
      </m:oMath>
      <w:r>
        <w:t>………………………………………………（</w:t>
      </w:r>
      <w:r>
        <w:rPr>
          <w:rFonts w:hint="eastAsia"/>
          <w:lang w:val="en-US" w:eastAsia="zh-CN"/>
        </w:rPr>
        <w:t>1</w:t>
      </w:r>
      <w:r>
        <w:t>）</w:t>
      </w:r>
    </w:p>
    <w:p w14:paraId="5E118F2D">
      <w:pPr>
        <w:pStyle w:val="57"/>
        <w:rPr>
          <w:rFonts w:ascii="Cambria Math" w:hAnsi="Cambria Math"/>
        </w:rPr>
      </w:pPr>
      <w:r>
        <w:rPr>
          <w:rFonts w:hint="eastAsia"/>
        </w:rPr>
        <w:t>式中：</w:t>
      </w:r>
      <w:r>
        <w:rPr>
          <w:rFonts w:ascii="Cambria Math" w:hAnsi="Cambria Math"/>
        </w:rPr>
        <w:t xml:space="preserve"> </w:t>
      </w:r>
    </w:p>
    <w:p w14:paraId="4471F969">
      <w:pPr>
        <w:pStyle w:val="57"/>
      </w:pP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max</m:t>
            </m:r>
            <m:ctrlPr>
              <w:rPr>
                <w:rFonts w:ascii="Cambria Math" w:hAnsi="Cambria Math"/>
              </w:rPr>
            </m:ctrlPr>
          </m:sub>
        </m:sSub>
      </m:oMath>
      <w:r>
        <w:t>——</w:t>
      </w:r>
      <w:r>
        <w:rPr>
          <w:rFonts w:hint="eastAsia"/>
          <w:lang w:val="en-US" w:eastAsia="zh-CN"/>
        </w:rPr>
        <w:t>分</w:t>
      </w:r>
      <w:r>
        <w:rPr>
          <w:rFonts w:hint="eastAsia"/>
        </w:rPr>
        <w:t>析区域内的路表最高温度，</w:t>
      </w:r>
      <w:r>
        <w:rPr>
          <w:rFonts w:hint="eastAsia"/>
          <w:lang w:eastAsia="zh-CN"/>
        </w:rPr>
        <w:t>单位为摄氏度（</w:t>
      </w:r>
      <w:r>
        <w:rPr>
          <w:rFonts w:hint="eastAsia"/>
          <w:color w:val="auto"/>
        </w:rPr>
        <w:t>℃</w:t>
      </w:r>
      <w:r>
        <w:rPr>
          <w:rFonts w:hint="eastAsia"/>
          <w:lang w:eastAsia="zh-CN"/>
        </w:rPr>
        <w:t>）；</w:t>
      </w:r>
    </w:p>
    <w:p w14:paraId="1A9F8164">
      <w:pPr>
        <w:pStyle w:val="57"/>
      </w:pPr>
      <m:oMath>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min</m:t>
            </m:r>
            <m:ctrlPr>
              <w:rPr>
                <w:rFonts w:ascii="Cambria Math" w:hAnsi="Cambria Math"/>
              </w:rPr>
            </m:ctrlPr>
          </m:sub>
        </m:sSub>
      </m:oMath>
      <w:r>
        <w:t>——</w:t>
      </w:r>
      <w:r>
        <w:rPr>
          <w:rFonts w:hint="eastAsia"/>
        </w:rPr>
        <w:t>分析区域内的路表最低温度</w:t>
      </w:r>
      <w:r>
        <w:rPr>
          <w:rFonts w:hint="eastAsia"/>
          <w:lang w:eastAsia="zh-CN"/>
        </w:rPr>
        <w:t>，单位为摄氏度（</w:t>
      </w:r>
      <w:r>
        <w:rPr>
          <w:rFonts w:hint="eastAsia"/>
          <w:color w:val="auto"/>
        </w:rPr>
        <w:t>℃</w:t>
      </w:r>
      <w:r>
        <w:rPr>
          <w:rFonts w:hint="eastAsia"/>
          <w:lang w:eastAsia="zh-CN"/>
        </w:rPr>
        <w:t>）</w:t>
      </w:r>
      <w:r>
        <w:rPr>
          <w:rFonts w:hint="eastAsia"/>
        </w:rPr>
        <w:t>。</w:t>
      </w:r>
    </w:p>
    <w:p w14:paraId="1E0671F7">
      <w:pPr>
        <w:pStyle w:val="57"/>
        <w:jc w:val="right"/>
        <w:rPr>
          <w:rFonts w:hint="eastAsia"/>
        </w:rPr>
      </w:pPr>
      <w:r>
        <w:rPr>
          <w:position w:val="-29"/>
        </w:rPr>
        <w:object>
          <v:shape id="_x0000_i1025" o:spt="75" type="#_x0000_t75" style="height:31.7pt;width:38.15pt;" o:ole="t" filled="f" o:preferrelative="t" stroked="f" coordsize="21600,21600">
            <v:path/>
            <v:fill on="f" focussize="0,0"/>
            <v:stroke on="f" joinstyle="miter"/>
            <v:imagedata r:id="rId19" o:title=""/>
            <o:lock v:ext="edit" aspectratio="t"/>
            <w10:wrap type="none"/>
            <w10:anchorlock/>
          </v:shape>
          <o:OLEObject Type="Embed" ProgID="Equation.AxMath" ShapeID="_x0000_i1025" DrawAspect="Content" ObjectID="_1468075725" r:id="rId18">
            <o:LockedField>false</o:LockedField>
          </o:OLEObject>
        </w:object>
      </w:r>
      <w:r>
        <w:t>…………………………………………………（</w:t>
      </w:r>
      <w:r>
        <w:rPr>
          <w:rFonts w:hint="eastAsia"/>
          <w:lang w:val="en-US" w:eastAsia="zh-CN"/>
        </w:rPr>
        <w:t>2</w:t>
      </w:r>
      <w:r>
        <w:t>）</w:t>
      </w:r>
    </w:p>
    <w:p w14:paraId="228EE3AE">
      <w:pPr>
        <w:pStyle w:val="57"/>
        <w:rPr>
          <w:rFonts w:hint="eastAsia"/>
        </w:rPr>
      </w:pPr>
      <w:r>
        <w:rPr>
          <w:rFonts w:hint="eastAsia"/>
        </w:rPr>
        <w:t>式中：</w:t>
      </w:r>
    </w:p>
    <w:p w14:paraId="3E7BB4F7">
      <w:pPr>
        <w:pStyle w:val="57"/>
      </w:pPr>
      <m:oMath>
        <m:acc>
          <m:accPr>
            <m:chr m:val="̅"/>
            <m:ctrlPr>
              <w:rPr>
                <w:rFonts w:ascii="Cambria Math" w:hAnsi="Cambria Math"/>
              </w:rPr>
            </m:ctrlPr>
          </m:accPr>
          <m:e>
            <m:r>
              <m:rPr/>
              <w:rPr>
                <w:rFonts w:ascii="Cambria Math" w:hAnsi="Cambria Math"/>
              </w:rPr>
              <m:t>T</m:t>
            </m:r>
            <m:ctrlPr>
              <w:rPr>
                <w:rFonts w:ascii="Cambria Math" w:hAnsi="Cambria Math"/>
              </w:rPr>
            </m:ctrlPr>
          </m:e>
        </m:acc>
      </m:oMath>
      <w:r>
        <w:t>——</w:t>
      </w:r>
      <w:r>
        <w:rPr>
          <w:rFonts w:hint="eastAsia"/>
        </w:rPr>
        <w:t>分析区域内的路表平均温度，</w:t>
      </w:r>
      <w:r>
        <w:rPr>
          <w:rFonts w:hint="eastAsia"/>
          <w:lang w:eastAsia="zh-CN"/>
        </w:rPr>
        <w:t>单位为摄氏度（</w:t>
      </w:r>
      <w:r>
        <w:rPr>
          <w:rFonts w:hint="eastAsia"/>
          <w:color w:val="auto"/>
        </w:rPr>
        <w:t>℃</w:t>
      </w:r>
      <w:r>
        <w:rPr>
          <w:rFonts w:hint="eastAsia"/>
          <w:lang w:eastAsia="zh-CN"/>
        </w:rPr>
        <w:t>）</w:t>
      </w:r>
      <w:r>
        <w:rPr>
          <w:rFonts w:hint="eastAsia"/>
        </w:rPr>
        <w:t>。</w:t>
      </w:r>
    </w:p>
    <w:p w14:paraId="215023E7">
      <w:pPr>
        <w:pStyle w:val="57"/>
        <w:jc w:val="right"/>
        <w:rPr>
          <w:rFonts w:hint="eastAsia"/>
        </w:rPr>
      </w:pPr>
      <w:r>
        <w:rPr>
          <w:position w:val="-29"/>
        </w:rPr>
        <w:object>
          <v:shape id="_x0000_i1026" o:spt="75" type="#_x0000_t75" style="height:31.7pt;width:73.05pt;" o:ole="t" filled="f" o:preferrelative="t" stroked="f" coordsize="21600,21600">
            <v:path/>
            <v:fill on="f" focussize="0,0"/>
            <v:stroke on="f" joinstyle="miter"/>
            <v:imagedata r:id="rId21" o:title=""/>
            <o:lock v:ext="edit" aspectratio="t"/>
            <w10:wrap type="none"/>
            <w10:anchorlock/>
          </v:shape>
          <o:OLEObject Type="Embed" ProgID="Equation.AxMath" ShapeID="_x0000_i1026" DrawAspect="Content" ObjectID="_1468075726" r:id="rId20">
            <o:LockedField>false</o:LockedField>
          </o:OLEObject>
        </w:object>
      </w:r>
      <w:r>
        <w:t>……………………………………………（</w:t>
      </w:r>
      <w:r>
        <w:rPr>
          <w:rFonts w:hint="eastAsia"/>
          <w:lang w:val="en-US" w:eastAsia="zh-CN"/>
        </w:rPr>
        <w:t>3</w:t>
      </w:r>
      <w:r>
        <w:t>）</w:t>
      </w:r>
    </w:p>
    <w:p w14:paraId="24B14DE6">
      <w:pPr>
        <w:pStyle w:val="57"/>
        <w:rPr>
          <w:rFonts w:hint="eastAsia"/>
        </w:rPr>
      </w:pPr>
      <w:r>
        <w:rPr>
          <w:rFonts w:hint="eastAsia"/>
        </w:rPr>
        <w:t>式中：</w:t>
      </w:r>
    </w:p>
    <w:p w14:paraId="6E3E50C7">
      <w:pPr>
        <w:pStyle w:val="57"/>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oMath>
      <w:r>
        <w:t>——</w:t>
      </w:r>
      <w:r>
        <w:rPr>
          <w:rFonts w:hint="eastAsia"/>
        </w:rPr>
        <w:t>分析区域内的任意i点路表温度</w:t>
      </w:r>
      <w:r>
        <w:rPr>
          <w:rFonts w:hint="eastAsia"/>
          <w:lang w:eastAsia="zh-CN"/>
        </w:rPr>
        <w:t>，单位为摄氏度（</w:t>
      </w:r>
      <w:r>
        <w:rPr>
          <w:rFonts w:hint="eastAsia"/>
          <w:color w:val="auto"/>
        </w:rPr>
        <w:t>℃</w:t>
      </w:r>
      <w:r>
        <w:rPr>
          <w:rFonts w:hint="eastAsia"/>
          <w:lang w:eastAsia="zh-CN"/>
        </w:rPr>
        <w:t>）</w:t>
      </w:r>
      <w:r>
        <w:rPr>
          <w:rFonts w:hint="eastAsia"/>
        </w:rPr>
        <w:t>。</w:t>
      </w:r>
    </w:p>
    <w:p w14:paraId="07FBFAA3">
      <w:pPr>
        <w:pStyle w:val="57"/>
        <w:jc w:val="right"/>
        <w:rPr>
          <w:rFonts w:hint="eastAsia"/>
        </w:rPr>
      </w:pPr>
      <w:r>
        <w:rPr>
          <w:position w:val="-23"/>
        </w:rPr>
        <w:object>
          <v:shape id="_x0000_i1027" o:spt="75" type="#_x0000_t75" style="height:47.3pt;width:115pt;" o:ole="t" filled="f" o:preferrelative="t" stroked="f" coordsize="21600,21600">
            <v:path/>
            <v:fill on="f" focussize="0,0"/>
            <v:stroke on="f" joinstyle="miter"/>
            <v:imagedata r:id="rId23" o:title=""/>
            <o:lock v:ext="edit" aspectratio="t"/>
            <w10:wrap type="none"/>
            <w10:anchorlock/>
          </v:shape>
          <o:OLEObject Type="Embed" ProgID="Equation.AxMath" ShapeID="_x0000_i1027" DrawAspect="Content" ObjectID="_1468075727" r:id="rId22">
            <o:LockedField>false</o:LockedField>
          </o:OLEObject>
        </w:object>
      </w:r>
      <w:r>
        <w:t>………………………………………（</w:t>
      </w:r>
      <w:r>
        <w:rPr>
          <w:rFonts w:hint="eastAsia"/>
          <w:lang w:val="en-US" w:eastAsia="zh-CN"/>
        </w:rPr>
        <w:t>4</w:t>
      </w:r>
      <w:r>
        <w:t>）</w:t>
      </w:r>
    </w:p>
    <w:p w14:paraId="79400C96">
      <w:pPr>
        <w:pStyle w:val="57"/>
        <w:rPr>
          <w:rFonts w:hint="eastAsia"/>
        </w:rPr>
      </w:pPr>
      <w:r>
        <w:rPr>
          <w:rFonts w:hint="eastAsia"/>
        </w:rPr>
        <w:t>式中：</w:t>
      </w:r>
    </w:p>
    <w:p w14:paraId="6FA85DAF">
      <w:pPr>
        <w:pStyle w:val="57"/>
      </w:pP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i</m:t>
            </m:r>
            <m:ctrlPr>
              <w:rPr>
                <w:rFonts w:ascii="Cambria Math" w:hAnsi="Cambria Math"/>
                <w:i/>
              </w:rPr>
            </m:ctrlPr>
          </m:sub>
        </m:sSub>
      </m:oMath>
      <w:r>
        <w:t>——</w:t>
      </w:r>
      <w:r>
        <w:rPr>
          <w:rFonts w:hint="eastAsia"/>
        </w:rPr>
        <w:t>红外图像中第</w:t>
      </w:r>
      <w:r>
        <w:t>i</w:t>
      </w:r>
      <w:r>
        <w:rPr>
          <w:rFonts w:hint="eastAsia"/>
        </w:rPr>
        <w:t>类温差系数的总面积</w:t>
      </w:r>
      <w:r>
        <w:rPr>
          <w:rFonts w:hint="eastAsia"/>
          <w:lang w:eastAsia="zh-CN"/>
        </w:rPr>
        <w:t>，单位为</w:t>
      </w:r>
      <w:r>
        <w:rPr>
          <w:rFonts w:hint="eastAsia"/>
          <w:lang w:val="en-US" w:eastAsia="zh-CN"/>
        </w:rPr>
        <w:t>平方米（m</w:t>
      </w:r>
      <w:r>
        <w:rPr>
          <w:rFonts w:hint="eastAsia"/>
          <w:vertAlign w:val="superscript"/>
          <w:lang w:val="en-US" w:eastAsia="zh-CN"/>
        </w:rPr>
        <w:t>2</w:t>
      </w:r>
      <w:r>
        <w:rPr>
          <w:rFonts w:hint="eastAsia"/>
          <w:lang w:val="en-US" w:eastAsia="zh-CN"/>
        </w:rPr>
        <w:t>）</w:t>
      </w:r>
      <w:r>
        <w:rPr>
          <w:rFonts w:hint="eastAsia"/>
        </w:rPr>
        <w:t>；</w:t>
      </w:r>
    </w:p>
    <w:p w14:paraId="7D278178">
      <w:pPr>
        <w:pStyle w:val="57"/>
      </w:pPr>
      <m:oMath>
        <m:r>
          <m:rPr/>
          <w:rPr>
            <w:rFonts w:ascii="Cambria Math" w:hAnsi="Cambria Math"/>
          </w:rPr>
          <m:t>A</m:t>
        </m:r>
      </m:oMath>
      <w:r>
        <w:t>——</w:t>
      </w:r>
      <w:r>
        <w:rPr>
          <w:rFonts w:hint="eastAsia"/>
        </w:rPr>
        <w:t>红外图像总面积</w:t>
      </w:r>
      <w:r>
        <w:rPr>
          <w:rFonts w:hint="eastAsia"/>
          <w:lang w:eastAsia="zh-CN"/>
        </w:rPr>
        <w:t>，单位为</w:t>
      </w:r>
      <w:r>
        <w:rPr>
          <w:rFonts w:hint="eastAsia"/>
          <w:lang w:val="en-US" w:eastAsia="zh-CN"/>
        </w:rPr>
        <w:t>平方米（m</w:t>
      </w:r>
      <w:r>
        <w:rPr>
          <w:rFonts w:hint="eastAsia"/>
          <w:vertAlign w:val="superscript"/>
          <w:lang w:val="en-US" w:eastAsia="zh-CN"/>
        </w:rPr>
        <w:t>2</w:t>
      </w:r>
      <w:r>
        <w:rPr>
          <w:rFonts w:hint="eastAsia"/>
          <w:lang w:val="en-US" w:eastAsia="zh-CN"/>
        </w:rPr>
        <w:t>）</w:t>
      </w:r>
      <w:r>
        <w:rPr>
          <w:rFonts w:hint="eastAsia"/>
        </w:rPr>
        <w:t>；</w:t>
      </w:r>
    </w:p>
    <w:p w14:paraId="3AD4A1A2">
      <w:pPr>
        <w:pStyle w:val="57"/>
      </w:pPr>
      <m:oMath>
        <m:sSub>
          <w:bookmarkStart w:id="57" w:name="_Hlk129110388"/>
          <m:sSubPr>
            <m:ctrlPr>
              <w:rPr>
                <w:rFonts w:ascii="Cambria Math" w:hAnsi="Cambria Math"/>
                <w:i/>
              </w:rPr>
            </m:ctrlPr>
          </m:sSubPr>
          <m:e>
            <m:r>
              <m:rPr/>
              <w:rPr>
                <w:rFonts w:ascii="Cambria Math" w:hAnsi="Cambria Math"/>
              </w:rPr>
              <m:t>ω</m:t>
            </m:r>
            <m:ctrlPr>
              <w:rPr>
                <w:rFonts w:ascii="Cambria Math" w:hAnsi="Cambria Math"/>
                <w:i/>
              </w:rPr>
            </m:ctrlPr>
          </m:e>
          <m:sub>
            <m:r>
              <m:rPr/>
              <w:rPr>
                <w:rFonts w:ascii="Cambria Math" w:hAnsi="Cambria Math"/>
              </w:rPr>
              <m:t>i</m:t>
            </m:r>
            <m:ctrlPr>
              <w:rPr>
                <w:rFonts w:ascii="Cambria Math" w:hAnsi="Cambria Math"/>
                <w:i/>
              </w:rPr>
            </m:ctrlPr>
          </m:sub>
        </m:sSub>
      </m:oMath>
      <w:r>
        <w:t>——</w:t>
      </w:r>
      <w:r>
        <w:rPr>
          <w:rFonts w:hint="eastAsia"/>
        </w:rPr>
        <w:t>第</w:t>
      </w:r>
      <w:r>
        <w:rPr>
          <w:i/>
          <w:iCs/>
        </w:rPr>
        <w:t>i</w:t>
      </w:r>
      <w:r>
        <w:rPr>
          <w:rFonts w:hint="eastAsia"/>
        </w:rPr>
        <w:t>类温差系数的面积权重，</w:t>
      </w:r>
      <w:bookmarkEnd w:id="57"/>
      <w:r>
        <w:rPr>
          <w:rFonts w:hint="eastAsia"/>
          <w:lang w:val="en-US" w:eastAsia="zh-CN"/>
        </w:rPr>
        <w:t>取值见表1</w:t>
      </w:r>
      <w:r>
        <w:rPr>
          <w:rFonts w:hint="eastAsia"/>
        </w:rPr>
        <w:t>；</w:t>
      </w:r>
    </w:p>
    <w:p w14:paraId="039D1FA9">
      <w:pPr>
        <w:pStyle w:val="57"/>
      </w:pPr>
      <w:r>
        <w:rPr>
          <w:i/>
          <w:iCs/>
        </w:rPr>
        <w:t>i</w:t>
      </w:r>
      <w:r>
        <w:t>——</w:t>
      </w:r>
      <w:r>
        <w:rPr>
          <w:rFonts w:hint="eastAsia"/>
        </w:rPr>
        <w:t>温度不均匀标准的第</w:t>
      </w:r>
      <w:r>
        <w:rPr>
          <w:i/>
          <w:iCs/>
        </w:rPr>
        <w:t>i</w:t>
      </w:r>
      <w:r>
        <w:rPr>
          <w:rFonts w:hint="eastAsia"/>
        </w:rPr>
        <w:t>温差段。</w:t>
      </w:r>
    </w:p>
    <w:p w14:paraId="2DE5B664">
      <w:pPr>
        <w:pStyle w:val="113"/>
        <w:spacing w:before="156" w:after="156"/>
        <w:ind w:left="0"/>
      </w:pPr>
      <w:r>
        <w:rPr>
          <w:rFonts w:hint="eastAsia"/>
        </w:rPr>
        <w:t>沥青路面温度不均匀程度及权重表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2406"/>
        <w:gridCol w:w="2387"/>
        <w:gridCol w:w="2391"/>
      </w:tblGrid>
      <w:tr w14:paraId="5A53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1DD2C7A5">
            <w:pPr>
              <w:spacing w:line="240" w:lineRule="auto"/>
              <w:jc w:val="center"/>
              <w:rPr>
                <w:rFonts w:hint="eastAsia" w:ascii="宋体" w:hAnsi="宋体"/>
                <w:sz w:val="18"/>
                <w:szCs w:val="18"/>
              </w:rPr>
            </w:pPr>
            <w:r>
              <w:rPr>
                <w:rFonts w:hint="eastAsia" w:ascii="宋体" w:hAnsi="宋体"/>
                <w:sz w:val="18"/>
                <w:szCs w:val="18"/>
              </w:rPr>
              <w:t>类别</w:t>
            </w:r>
          </w:p>
        </w:tc>
        <w:tc>
          <w:tcPr>
            <w:tcW w:w="1257" w:type="pct"/>
            <w:shd w:val="clear" w:color="auto" w:fill="auto"/>
            <w:vAlign w:val="center"/>
          </w:tcPr>
          <w:p w14:paraId="0E214CDE">
            <w:pPr>
              <w:spacing w:line="240" w:lineRule="auto"/>
              <w:jc w:val="center"/>
              <w:rPr>
                <w:rFonts w:hint="eastAsia" w:ascii="宋体" w:hAnsi="宋体"/>
                <w:sz w:val="18"/>
                <w:szCs w:val="18"/>
              </w:rPr>
            </w:pPr>
            <w:r>
              <w:rPr>
                <w:rFonts w:hint="eastAsia" w:ascii="宋体" w:hAnsi="宋体"/>
                <w:sz w:val="18"/>
                <w:szCs w:val="18"/>
              </w:rPr>
              <w:t>温差系数</w:t>
            </w:r>
          </w:p>
        </w:tc>
        <w:tc>
          <w:tcPr>
            <w:tcW w:w="1247" w:type="pct"/>
            <w:shd w:val="clear" w:color="auto" w:fill="auto"/>
            <w:vAlign w:val="center"/>
          </w:tcPr>
          <w:p w14:paraId="10AAB668">
            <w:pPr>
              <w:spacing w:line="240" w:lineRule="auto"/>
              <w:jc w:val="center"/>
              <w:rPr>
                <w:rFonts w:hint="eastAsia" w:ascii="宋体" w:hAnsi="宋体"/>
                <w:sz w:val="18"/>
                <w:szCs w:val="18"/>
              </w:rPr>
            </w:pPr>
            <w:r>
              <w:rPr>
                <w:rFonts w:hint="eastAsia" w:ascii="宋体" w:hAnsi="宋体"/>
                <w:sz w:val="18"/>
                <w:szCs w:val="18"/>
              </w:rPr>
              <w:t>温度不均匀程度</w:t>
            </w:r>
          </w:p>
        </w:tc>
        <w:tc>
          <w:tcPr>
            <w:tcW w:w="1249" w:type="pct"/>
            <w:shd w:val="clear" w:color="auto" w:fill="auto"/>
            <w:vAlign w:val="center"/>
          </w:tcPr>
          <w:p w14:paraId="31F329C7">
            <w:pPr>
              <w:spacing w:line="240" w:lineRule="auto"/>
              <w:jc w:val="center"/>
              <w:rPr>
                <w:rFonts w:hint="eastAsia" w:ascii="宋体" w:hAnsi="宋体"/>
                <w:sz w:val="18"/>
                <w:szCs w:val="18"/>
              </w:rPr>
            </w:pPr>
            <w:r>
              <w:rPr>
                <w:rFonts w:hint="eastAsia" w:ascii="宋体" w:hAnsi="宋体"/>
                <w:sz w:val="18"/>
                <w:szCs w:val="18"/>
              </w:rPr>
              <w:t>权重大小</w:t>
            </w:r>
          </w:p>
        </w:tc>
      </w:tr>
      <w:tr w14:paraId="60CF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4244A625">
            <w:pPr>
              <w:spacing w:line="240" w:lineRule="auto"/>
              <w:jc w:val="center"/>
              <w:rPr>
                <w:rFonts w:hint="eastAsia" w:ascii="宋体" w:hAnsi="宋体"/>
                <w:sz w:val="18"/>
                <w:szCs w:val="18"/>
              </w:rPr>
            </w:pPr>
            <w:r>
              <w:rPr>
                <w:rFonts w:hint="eastAsia" w:ascii="宋体" w:hAnsi="宋体"/>
                <w:sz w:val="18"/>
                <w:szCs w:val="18"/>
              </w:rPr>
              <w:t>1</w:t>
            </w:r>
          </w:p>
        </w:tc>
        <w:tc>
          <w:tcPr>
            <w:tcW w:w="1257" w:type="pct"/>
            <w:shd w:val="clear" w:color="auto" w:fill="auto"/>
            <w:vAlign w:val="center"/>
          </w:tcPr>
          <w:p w14:paraId="0BDF4BB7">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p>
        </w:tc>
        <w:tc>
          <w:tcPr>
            <w:tcW w:w="1247" w:type="pct"/>
            <w:shd w:val="clear" w:color="auto" w:fill="auto"/>
            <w:vAlign w:val="center"/>
          </w:tcPr>
          <w:p w14:paraId="310D14D8">
            <w:pPr>
              <w:spacing w:line="240" w:lineRule="auto"/>
              <w:jc w:val="center"/>
              <w:rPr>
                <w:rFonts w:hint="eastAsia" w:ascii="宋体" w:hAnsi="宋体"/>
                <w:sz w:val="18"/>
                <w:szCs w:val="18"/>
              </w:rPr>
            </w:pPr>
            <w:r>
              <w:rPr>
                <w:rFonts w:hint="eastAsia" w:ascii="宋体" w:hAnsi="宋体"/>
                <w:sz w:val="18"/>
                <w:szCs w:val="18"/>
              </w:rPr>
              <w:t>无</w:t>
            </w:r>
          </w:p>
        </w:tc>
        <w:tc>
          <w:tcPr>
            <w:tcW w:w="1249" w:type="pct"/>
            <w:shd w:val="clear" w:color="auto" w:fill="auto"/>
            <w:vAlign w:val="center"/>
          </w:tcPr>
          <w:p w14:paraId="0DB78E89">
            <w:pPr>
              <w:spacing w:line="240" w:lineRule="auto"/>
              <w:jc w:val="center"/>
              <w:rPr>
                <w:rFonts w:hint="eastAsia" w:ascii="宋体" w:hAnsi="宋体"/>
                <w:sz w:val="18"/>
                <w:szCs w:val="18"/>
              </w:rPr>
            </w:pPr>
            <w:r>
              <w:rPr>
                <w:rFonts w:hint="eastAsia" w:ascii="宋体" w:hAnsi="宋体"/>
                <w:sz w:val="18"/>
                <w:szCs w:val="18"/>
              </w:rPr>
              <w:t>0</w:t>
            </w:r>
          </w:p>
        </w:tc>
      </w:tr>
      <w:tr w14:paraId="3B728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21E1D853">
            <w:pPr>
              <w:spacing w:line="240" w:lineRule="auto"/>
              <w:jc w:val="center"/>
              <w:rPr>
                <w:rFonts w:hint="eastAsia" w:ascii="宋体" w:hAnsi="宋体"/>
                <w:sz w:val="18"/>
                <w:szCs w:val="18"/>
              </w:rPr>
            </w:pPr>
            <w:r>
              <w:rPr>
                <w:rFonts w:hint="eastAsia" w:ascii="宋体" w:hAnsi="宋体"/>
                <w:sz w:val="18"/>
                <w:szCs w:val="18"/>
              </w:rPr>
              <w:t>2</w:t>
            </w:r>
          </w:p>
        </w:tc>
        <w:tc>
          <w:tcPr>
            <w:tcW w:w="1257" w:type="pct"/>
            <w:shd w:val="clear" w:color="auto" w:fill="auto"/>
            <w:vAlign w:val="center"/>
          </w:tcPr>
          <w:p w14:paraId="33697D4E">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8%</w:t>
            </w:r>
          </w:p>
        </w:tc>
        <w:tc>
          <w:tcPr>
            <w:tcW w:w="1247" w:type="pct"/>
            <w:shd w:val="clear" w:color="auto" w:fill="auto"/>
            <w:vAlign w:val="center"/>
          </w:tcPr>
          <w:p w14:paraId="0C0A1239">
            <w:pPr>
              <w:spacing w:line="240" w:lineRule="auto"/>
              <w:jc w:val="center"/>
              <w:rPr>
                <w:rFonts w:hint="eastAsia" w:ascii="宋体" w:hAnsi="宋体"/>
                <w:sz w:val="18"/>
                <w:szCs w:val="18"/>
              </w:rPr>
            </w:pPr>
            <w:r>
              <w:rPr>
                <w:rFonts w:hint="eastAsia" w:ascii="宋体" w:hAnsi="宋体"/>
                <w:sz w:val="18"/>
                <w:szCs w:val="18"/>
              </w:rPr>
              <w:t>轻度</w:t>
            </w:r>
          </w:p>
        </w:tc>
        <w:tc>
          <w:tcPr>
            <w:tcW w:w="1249" w:type="pct"/>
            <w:shd w:val="clear" w:color="auto" w:fill="auto"/>
            <w:vAlign w:val="center"/>
          </w:tcPr>
          <w:p w14:paraId="7C178628">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r>
      <w:tr w14:paraId="2607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7" w:type="pct"/>
            <w:shd w:val="clear" w:color="auto" w:fill="auto"/>
            <w:vAlign w:val="center"/>
          </w:tcPr>
          <w:p w14:paraId="18702A28">
            <w:pPr>
              <w:spacing w:line="240" w:lineRule="auto"/>
              <w:jc w:val="center"/>
              <w:rPr>
                <w:rFonts w:hint="eastAsia" w:ascii="宋体" w:hAnsi="宋体"/>
                <w:sz w:val="18"/>
                <w:szCs w:val="18"/>
              </w:rPr>
            </w:pPr>
            <w:r>
              <w:rPr>
                <w:rFonts w:hint="eastAsia" w:ascii="宋体" w:hAnsi="宋体"/>
                <w:sz w:val="18"/>
                <w:szCs w:val="18"/>
              </w:rPr>
              <w:t>3</w:t>
            </w:r>
          </w:p>
        </w:tc>
        <w:tc>
          <w:tcPr>
            <w:tcW w:w="1257" w:type="pct"/>
            <w:shd w:val="clear" w:color="auto" w:fill="auto"/>
            <w:vAlign w:val="center"/>
          </w:tcPr>
          <w:p w14:paraId="3559725F">
            <w:pPr>
              <w:spacing w:line="240" w:lineRule="auto"/>
              <w:jc w:val="center"/>
              <w:rPr>
                <w:rFonts w:hint="eastAsia" w:ascii="宋体" w:hAnsi="宋体"/>
                <w:sz w:val="18"/>
                <w:szCs w:val="18"/>
              </w:rPr>
            </w:pPr>
            <w:r>
              <w:rPr>
                <w:rFonts w:hint="eastAsia" w:ascii="宋体" w:hAnsi="宋体"/>
                <w:sz w:val="18"/>
                <w:szCs w:val="18"/>
              </w:rPr>
              <w:t>8</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14%</w:t>
            </w:r>
          </w:p>
        </w:tc>
        <w:tc>
          <w:tcPr>
            <w:tcW w:w="1247" w:type="pct"/>
            <w:shd w:val="clear" w:color="auto" w:fill="auto"/>
            <w:vAlign w:val="center"/>
          </w:tcPr>
          <w:p w14:paraId="0BB9882D">
            <w:pPr>
              <w:spacing w:line="240" w:lineRule="auto"/>
              <w:jc w:val="center"/>
              <w:rPr>
                <w:rFonts w:hint="eastAsia" w:ascii="宋体" w:hAnsi="宋体"/>
                <w:sz w:val="18"/>
                <w:szCs w:val="18"/>
              </w:rPr>
            </w:pPr>
            <w:r>
              <w:rPr>
                <w:rFonts w:hint="eastAsia" w:ascii="宋体" w:hAnsi="宋体"/>
                <w:sz w:val="18"/>
                <w:szCs w:val="18"/>
              </w:rPr>
              <w:t>中度</w:t>
            </w:r>
          </w:p>
        </w:tc>
        <w:tc>
          <w:tcPr>
            <w:tcW w:w="1249" w:type="pct"/>
            <w:shd w:val="clear" w:color="auto" w:fill="auto"/>
            <w:vAlign w:val="center"/>
          </w:tcPr>
          <w:p w14:paraId="2EFEA151">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w:t>
            </w:r>
            <w:r>
              <w:rPr>
                <w:rFonts w:hint="eastAsia" w:ascii="宋体" w:hAnsi="宋体"/>
                <w:sz w:val="18"/>
                <w:szCs w:val="18"/>
              </w:rPr>
              <w:t>7</w:t>
            </w:r>
          </w:p>
        </w:tc>
      </w:tr>
      <w:tr w14:paraId="79DF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47" w:type="pct"/>
            <w:shd w:val="clear" w:color="auto" w:fill="auto"/>
            <w:vAlign w:val="center"/>
          </w:tcPr>
          <w:p w14:paraId="01364E53">
            <w:pPr>
              <w:spacing w:line="240" w:lineRule="auto"/>
              <w:jc w:val="center"/>
              <w:rPr>
                <w:rFonts w:hint="eastAsia" w:ascii="宋体" w:hAnsi="宋体"/>
                <w:sz w:val="18"/>
                <w:szCs w:val="18"/>
              </w:rPr>
            </w:pPr>
            <w:r>
              <w:rPr>
                <w:rFonts w:hint="eastAsia" w:ascii="宋体" w:hAnsi="宋体"/>
                <w:sz w:val="18"/>
                <w:szCs w:val="18"/>
              </w:rPr>
              <w:t>4</w:t>
            </w:r>
          </w:p>
        </w:tc>
        <w:tc>
          <w:tcPr>
            <w:tcW w:w="1257" w:type="pct"/>
            <w:shd w:val="clear" w:color="auto" w:fill="auto"/>
            <w:vAlign w:val="center"/>
          </w:tcPr>
          <w:p w14:paraId="726B80EA">
            <w:pPr>
              <w:spacing w:line="240" w:lineRule="auto"/>
              <w:jc w:val="center"/>
              <w:rPr>
                <w:rFonts w:hint="eastAsia" w:ascii="宋体" w:hAnsi="宋体"/>
                <w:sz w:val="18"/>
                <w:szCs w:val="18"/>
              </w:rPr>
            </w:pPr>
            <w:r>
              <w:rPr>
                <w:rFonts w:hint="eastAsia" w:ascii="宋体" w:hAnsi="宋体"/>
                <w:sz w:val="18"/>
                <w:szCs w:val="18"/>
              </w:rPr>
              <w:t>＞</w:t>
            </w:r>
            <w:r>
              <w:rPr>
                <w:rFonts w:ascii="宋体" w:hAnsi="宋体"/>
                <w:sz w:val="18"/>
                <w:szCs w:val="18"/>
              </w:rPr>
              <w:t>14%</w:t>
            </w:r>
          </w:p>
        </w:tc>
        <w:tc>
          <w:tcPr>
            <w:tcW w:w="1247" w:type="pct"/>
            <w:shd w:val="clear" w:color="auto" w:fill="auto"/>
            <w:vAlign w:val="center"/>
          </w:tcPr>
          <w:p w14:paraId="4C36F090">
            <w:pPr>
              <w:spacing w:line="240" w:lineRule="auto"/>
              <w:jc w:val="center"/>
              <w:rPr>
                <w:rFonts w:hint="eastAsia" w:ascii="宋体" w:hAnsi="宋体"/>
                <w:sz w:val="18"/>
                <w:szCs w:val="18"/>
              </w:rPr>
            </w:pPr>
            <w:r>
              <w:rPr>
                <w:rFonts w:hint="eastAsia" w:ascii="宋体" w:hAnsi="宋体"/>
                <w:sz w:val="18"/>
                <w:szCs w:val="18"/>
              </w:rPr>
              <w:t>重度</w:t>
            </w:r>
          </w:p>
        </w:tc>
        <w:tc>
          <w:tcPr>
            <w:tcW w:w="1249" w:type="pct"/>
            <w:shd w:val="clear" w:color="auto" w:fill="auto"/>
            <w:vAlign w:val="center"/>
          </w:tcPr>
          <w:p w14:paraId="78D8D890">
            <w:pPr>
              <w:spacing w:line="240" w:lineRule="auto"/>
              <w:jc w:val="center"/>
              <w:rPr>
                <w:rFonts w:hint="eastAsia" w:ascii="宋体" w:hAnsi="宋体"/>
                <w:sz w:val="18"/>
                <w:szCs w:val="18"/>
              </w:rPr>
            </w:pPr>
            <w:r>
              <w:rPr>
                <w:rFonts w:hint="eastAsia" w:ascii="宋体" w:hAnsi="宋体"/>
                <w:sz w:val="18"/>
                <w:szCs w:val="18"/>
              </w:rPr>
              <w:t>1</w:t>
            </w:r>
          </w:p>
        </w:tc>
      </w:tr>
      <w:tr w14:paraId="57FC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5000" w:type="pct"/>
            <w:gridSpan w:val="4"/>
            <w:shd w:val="clear" w:color="auto" w:fill="auto"/>
            <w:vAlign w:val="center"/>
          </w:tcPr>
          <w:p w14:paraId="2997F2BF">
            <w:pPr>
              <w:spacing w:line="240" w:lineRule="auto"/>
              <w:jc w:val="center"/>
              <w:rPr>
                <w:rFonts w:hint="eastAsia" w:ascii="宋体" w:hAnsi="宋体"/>
                <w:sz w:val="18"/>
                <w:szCs w:val="18"/>
              </w:rPr>
            </w:pPr>
            <w:r>
              <w:rPr>
                <w:rFonts w:hint="eastAsia" w:ascii="宋体" w:hAnsi="宋体"/>
                <w:sz w:val="18"/>
                <w:szCs w:val="18"/>
              </w:rPr>
              <w:t>对于检测温度低于JTG F40</w:t>
            </w:r>
            <w:r>
              <w:rPr>
                <w:rFonts w:hint="eastAsia" w:ascii="宋体" w:hAnsi="宋体"/>
                <w:sz w:val="18"/>
                <w:szCs w:val="18"/>
                <w:lang w:val="en-US" w:eastAsia="zh-CN"/>
              </w:rPr>
              <w:t>-2004表5.2.2</w:t>
            </w:r>
            <w:r>
              <w:rPr>
                <w:rFonts w:hint="eastAsia" w:ascii="宋体" w:hAnsi="宋体"/>
                <w:sz w:val="18"/>
                <w:szCs w:val="18"/>
              </w:rPr>
              <w:t>中相应工序所要求的最低温度的，权重均按照第4类取1。</w:t>
            </w:r>
          </w:p>
        </w:tc>
      </w:tr>
    </w:tbl>
    <w:p w14:paraId="4C3F7E87">
      <w:pPr>
        <w:pStyle w:val="57"/>
        <w:jc w:val="right"/>
        <w:rPr>
          <w:rFonts w:hint="eastAsia" w:ascii="Times New Roman"/>
          <w:spacing w:val="-11"/>
        </w:rPr>
      </w:pPr>
      <w:r>
        <w:rPr>
          <w:position w:val="-23"/>
        </w:rPr>
        <w:object>
          <v:shape id="_x0000_i1028" o:spt="75" type="#_x0000_t75" style="height:47.3pt;width:108.55pt;" o:ole="t" filled="f" o:preferrelative="t" stroked="f" coordsize="21600,21600">
            <v:path/>
            <v:fill on="f" focussize="0,0"/>
            <v:stroke on="f" joinstyle="miter"/>
            <v:imagedata r:id="rId25" o:title=""/>
            <o:lock v:ext="edit" aspectratio="t"/>
            <w10:wrap type="none"/>
            <w10:anchorlock/>
          </v:shape>
          <o:OLEObject Type="Embed" ProgID="Equation.AxMath" ShapeID="_x0000_i1028" DrawAspect="Content" ObjectID="_1468075728" r:id="rId24">
            <o:LockedField>false</o:LockedField>
          </o:OLEObject>
        </w:object>
      </w:r>
      <w:r>
        <w:t>………………………………………（</w:t>
      </w:r>
      <w:r>
        <w:rPr>
          <w:rFonts w:hint="eastAsia" w:ascii="Cambria Math" w:hAnsi="Cambria Math"/>
          <w:lang w:val="en-US" w:eastAsia="zh-CN"/>
        </w:rPr>
        <w:t>5</w:t>
      </w:r>
      <w:r>
        <w:rPr>
          <w:rFonts w:ascii="Cambria Math" w:hAnsi="Cambria Math"/>
        </w:rPr>
        <w:t>）</w:t>
      </w:r>
    </w:p>
    <w:p w14:paraId="06B872FC">
      <w:pPr>
        <w:pStyle w:val="57"/>
      </w:pPr>
      <w:r>
        <w:rPr>
          <w:rFonts w:hint="eastAsia"/>
        </w:rPr>
        <w:t>式中：</w:t>
      </w:r>
      <w:r>
        <w:rPr>
          <w:rFonts w:ascii="Cambria Math" w:hAnsi="Cambria Math"/>
          <w:i/>
        </w:rPr>
        <w:t xml:space="preserv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j</m:t>
            </m:r>
            <m:ctrlPr>
              <w:rPr>
                <w:rFonts w:ascii="Cambria Math" w:hAnsi="Cambria Math"/>
                <w:i/>
              </w:rPr>
            </m:ctrlPr>
          </m:sub>
        </m:sSub>
      </m:oMath>
      <w:r>
        <w:t>——</w:t>
      </w:r>
      <w:r>
        <w:rPr>
          <w:rFonts w:hint="eastAsia"/>
        </w:rPr>
        <w:t>红外图像中第</w:t>
      </w:r>
      <w:r>
        <w:t>j</w:t>
      </w:r>
      <w:r>
        <w:rPr>
          <w:rFonts w:hint="eastAsia"/>
        </w:rPr>
        <w:t>类温差系数的总面积</w:t>
      </w:r>
      <w:r>
        <w:rPr>
          <w:rFonts w:hint="eastAsia"/>
          <w:lang w:eastAsia="zh-CN"/>
        </w:rPr>
        <w:t>，单位为</w:t>
      </w:r>
      <w:r>
        <w:rPr>
          <w:rFonts w:hint="eastAsia"/>
          <w:lang w:val="en-US" w:eastAsia="zh-CN"/>
        </w:rPr>
        <w:t>平方米（m</w:t>
      </w:r>
      <w:r>
        <w:rPr>
          <w:rFonts w:hint="eastAsia"/>
          <w:vertAlign w:val="superscript"/>
          <w:lang w:val="en-US" w:eastAsia="zh-CN"/>
        </w:rPr>
        <w:t>2</w:t>
      </w:r>
      <w:r>
        <w:rPr>
          <w:rFonts w:hint="eastAsia"/>
          <w:lang w:val="en-US" w:eastAsia="zh-CN"/>
        </w:rPr>
        <w:t>）</w:t>
      </w:r>
      <w:r>
        <w:rPr>
          <w:rFonts w:hint="eastAsia"/>
        </w:rPr>
        <w:t>；</w:t>
      </w:r>
    </w:p>
    <w:p w14:paraId="72395E44">
      <w:pPr>
        <w:pStyle w:val="57"/>
      </w:pPr>
      <w:r>
        <w:rPr>
          <w:position w:val="-10"/>
        </w:rPr>
        <w:object>
          <v:shape id="_x0000_i1029" o:spt="75" type="#_x0000_t75" style="height:14.5pt;width:14.5pt;" o:ole="t" filled="f" o:preferrelative="t" stroked="f" coordsize="21600,21600">
            <v:path/>
            <v:fill on="f" focussize="0,0"/>
            <v:stroke on="f" joinstyle="miter"/>
            <v:imagedata r:id="rId27" o:title=""/>
            <o:lock v:ext="edit" aspectratio="t"/>
            <w10:wrap type="none"/>
            <w10:anchorlock/>
          </v:shape>
          <o:OLEObject Type="Embed" ProgID="Equation.AxMath" ShapeID="_x0000_i1029" DrawAspect="Content" ObjectID="_1468075729" r:id="rId26">
            <o:LockedField>false</o:LockedField>
          </o:OLEObject>
        </w:object>
      </w:r>
      <w:r>
        <w:t>——</w:t>
      </w:r>
      <w:r>
        <w:rPr>
          <w:rFonts w:hint="eastAsia"/>
        </w:rPr>
        <w:t>第</w:t>
      </w:r>
      <w:r>
        <w:t>j</w:t>
      </w:r>
      <w:r>
        <w:rPr>
          <w:rFonts w:hint="eastAsia"/>
        </w:rPr>
        <w:t>类温差系数的面积权重，</w:t>
      </w:r>
      <w:r>
        <w:rPr>
          <w:rFonts w:hint="eastAsia"/>
          <w:lang w:val="en-US" w:eastAsia="zh-CN"/>
        </w:rPr>
        <w:t>可参照</w:t>
      </w:r>
      <w:r>
        <w:rPr>
          <w:rFonts w:hint="eastAsia"/>
        </w:rPr>
        <w:t>表</w:t>
      </w:r>
      <w:r>
        <w:t>2</w:t>
      </w:r>
      <w:r>
        <w:rPr>
          <w:rFonts w:hint="eastAsia"/>
        </w:rPr>
        <w:t>按照低温区域块数取值。</w:t>
      </w:r>
    </w:p>
    <w:p w14:paraId="54044F71">
      <w:pPr>
        <w:pStyle w:val="113"/>
        <w:spacing w:before="156" w:after="156"/>
        <w:ind w:left="0"/>
      </w:pPr>
      <w:r>
        <w:rPr>
          <w:rFonts w:hint="eastAsia"/>
        </w:rPr>
        <w:t>分散度权重赋值表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2387"/>
        <w:gridCol w:w="1200"/>
        <w:gridCol w:w="1208"/>
        <w:gridCol w:w="1206"/>
        <w:gridCol w:w="1208"/>
      </w:tblGrid>
      <w:tr w14:paraId="79E5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1234" w:type="pct"/>
            <w:vMerge w:val="restart"/>
            <w:shd w:val="clear" w:color="auto" w:fill="auto"/>
            <w:vAlign w:val="center"/>
          </w:tcPr>
          <w:p w14:paraId="485653CD">
            <w:pPr>
              <w:spacing w:line="240" w:lineRule="auto"/>
              <w:jc w:val="center"/>
              <w:rPr>
                <w:rFonts w:hint="eastAsia" w:ascii="宋体" w:hAnsi="宋体"/>
                <w:sz w:val="18"/>
                <w:szCs w:val="18"/>
              </w:rPr>
            </w:pPr>
            <w:r>
              <w:rPr>
                <w:rFonts w:hint="eastAsia" w:ascii="宋体" w:hAnsi="宋体"/>
                <w:sz w:val="18"/>
                <w:szCs w:val="18"/>
              </w:rPr>
              <w:t>类别</w:t>
            </w:r>
          </w:p>
        </w:tc>
        <w:tc>
          <w:tcPr>
            <w:tcW w:w="1247" w:type="pct"/>
            <w:vMerge w:val="restart"/>
            <w:shd w:val="clear" w:color="auto" w:fill="auto"/>
            <w:vAlign w:val="center"/>
          </w:tcPr>
          <w:p w14:paraId="6DB9C5A0">
            <w:pPr>
              <w:spacing w:line="240" w:lineRule="auto"/>
              <w:jc w:val="center"/>
              <w:rPr>
                <w:rFonts w:hint="eastAsia" w:ascii="宋体" w:hAnsi="宋体"/>
                <w:sz w:val="18"/>
                <w:szCs w:val="18"/>
              </w:rPr>
            </w:pPr>
            <w:r>
              <w:rPr>
                <w:rFonts w:hint="eastAsia" w:ascii="宋体" w:hAnsi="宋体"/>
                <w:sz w:val="18"/>
                <w:szCs w:val="18"/>
              </w:rPr>
              <w:t>温差系数</w:t>
            </w:r>
          </w:p>
        </w:tc>
        <w:tc>
          <w:tcPr>
            <w:tcW w:w="2519" w:type="pct"/>
            <w:gridSpan w:val="4"/>
            <w:shd w:val="clear" w:color="auto" w:fill="auto"/>
            <w:vAlign w:val="center"/>
          </w:tcPr>
          <w:p w14:paraId="0B3F3DD6">
            <w:pPr>
              <w:spacing w:line="240" w:lineRule="auto"/>
              <w:jc w:val="center"/>
              <w:rPr>
                <w:rFonts w:hint="eastAsia" w:ascii="宋体" w:hAnsi="宋体"/>
                <w:sz w:val="18"/>
                <w:szCs w:val="18"/>
              </w:rPr>
            </w:pPr>
            <w:r>
              <w:rPr>
                <w:rFonts w:hint="eastAsia" w:ascii="宋体" w:hAnsi="宋体"/>
                <w:sz w:val="18"/>
                <w:szCs w:val="18"/>
              </w:rPr>
              <w:t>低温区域块数</w:t>
            </w:r>
          </w:p>
        </w:tc>
      </w:tr>
      <w:tr w14:paraId="016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234" w:type="pct"/>
            <w:vMerge w:val="continue"/>
            <w:shd w:val="clear" w:color="auto" w:fill="auto"/>
            <w:vAlign w:val="center"/>
          </w:tcPr>
          <w:p w14:paraId="0FEF9996">
            <w:pPr>
              <w:spacing w:line="240" w:lineRule="auto"/>
              <w:jc w:val="center"/>
              <w:rPr>
                <w:rFonts w:hint="eastAsia" w:ascii="宋体" w:hAnsi="宋体"/>
                <w:sz w:val="18"/>
                <w:szCs w:val="18"/>
              </w:rPr>
            </w:pPr>
          </w:p>
        </w:tc>
        <w:tc>
          <w:tcPr>
            <w:tcW w:w="1247" w:type="pct"/>
            <w:vMerge w:val="continue"/>
            <w:shd w:val="clear" w:color="auto" w:fill="auto"/>
            <w:vAlign w:val="center"/>
          </w:tcPr>
          <w:p w14:paraId="167F91CD">
            <w:pPr>
              <w:spacing w:line="240" w:lineRule="auto"/>
              <w:jc w:val="center"/>
              <w:rPr>
                <w:rFonts w:hint="eastAsia" w:ascii="宋体" w:hAnsi="宋体"/>
                <w:sz w:val="18"/>
                <w:szCs w:val="18"/>
              </w:rPr>
            </w:pPr>
          </w:p>
        </w:tc>
        <w:tc>
          <w:tcPr>
            <w:tcW w:w="627" w:type="pct"/>
            <w:shd w:val="clear" w:color="auto" w:fill="auto"/>
            <w:vAlign w:val="center"/>
          </w:tcPr>
          <w:p w14:paraId="5CD1867D">
            <w:pPr>
              <w:spacing w:line="240" w:lineRule="auto"/>
              <w:jc w:val="center"/>
              <w:rPr>
                <w:rFonts w:hint="eastAsia" w:ascii="宋体" w:hAnsi="宋体"/>
                <w:sz w:val="18"/>
                <w:szCs w:val="18"/>
              </w:rPr>
            </w:pPr>
            <w:r>
              <w:rPr>
                <w:rFonts w:hint="eastAsia" w:ascii="宋体" w:hAnsi="宋体"/>
                <w:sz w:val="18"/>
                <w:szCs w:val="18"/>
              </w:rPr>
              <w:t>1块</w:t>
            </w:r>
          </w:p>
        </w:tc>
        <w:tc>
          <w:tcPr>
            <w:tcW w:w="631" w:type="pct"/>
            <w:shd w:val="clear" w:color="auto" w:fill="auto"/>
            <w:vAlign w:val="center"/>
          </w:tcPr>
          <w:p w14:paraId="7DE257B1">
            <w:pPr>
              <w:spacing w:line="240" w:lineRule="auto"/>
              <w:jc w:val="center"/>
              <w:rPr>
                <w:rFonts w:hint="eastAsia" w:ascii="宋体" w:hAnsi="宋体"/>
                <w:sz w:val="18"/>
                <w:szCs w:val="18"/>
              </w:rPr>
            </w:pPr>
            <w:r>
              <w:rPr>
                <w:rFonts w:hint="eastAsia" w:ascii="宋体" w:hAnsi="宋体"/>
                <w:sz w:val="18"/>
                <w:szCs w:val="18"/>
              </w:rPr>
              <w:t>2～</w:t>
            </w:r>
            <w:r>
              <w:rPr>
                <w:rFonts w:ascii="宋体" w:hAnsi="宋体"/>
                <w:sz w:val="18"/>
                <w:szCs w:val="18"/>
              </w:rPr>
              <w:t>3</w:t>
            </w:r>
            <w:r>
              <w:rPr>
                <w:rFonts w:hint="eastAsia" w:ascii="宋体" w:hAnsi="宋体"/>
                <w:sz w:val="18"/>
                <w:szCs w:val="18"/>
              </w:rPr>
              <w:t>块</w:t>
            </w:r>
          </w:p>
        </w:tc>
        <w:tc>
          <w:tcPr>
            <w:tcW w:w="630" w:type="pct"/>
            <w:shd w:val="clear" w:color="auto" w:fill="auto"/>
            <w:vAlign w:val="center"/>
          </w:tcPr>
          <w:p w14:paraId="0356C56B">
            <w:pPr>
              <w:spacing w:line="240" w:lineRule="auto"/>
              <w:jc w:val="center"/>
              <w:rPr>
                <w:rFonts w:hint="eastAsia"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5</w:t>
            </w:r>
            <w:r>
              <w:rPr>
                <w:rFonts w:hint="eastAsia" w:ascii="宋体" w:hAnsi="宋体"/>
                <w:sz w:val="18"/>
                <w:szCs w:val="18"/>
              </w:rPr>
              <w:t>块</w:t>
            </w:r>
          </w:p>
        </w:tc>
        <w:tc>
          <w:tcPr>
            <w:tcW w:w="631" w:type="pct"/>
            <w:shd w:val="clear" w:color="auto" w:fill="auto"/>
            <w:vAlign w:val="center"/>
          </w:tcPr>
          <w:p w14:paraId="2901CCD1">
            <w:pPr>
              <w:spacing w:line="240" w:lineRule="auto"/>
              <w:jc w:val="center"/>
              <w:rPr>
                <w:rFonts w:hint="eastAsia" w:ascii="宋体" w:hAnsi="宋体"/>
                <w:sz w:val="18"/>
                <w:szCs w:val="18"/>
              </w:rPr>
            </w:pPr>
            <w:r>
              <w:rPr>
                <w:rFonts w:hint="eastAsia" w:ascii="宋体" w:hAnsi="宋体"/>
                <w:sz w:val="18"/>
                <w:szCs w:val="18"/>
              </w:rPr>
              <w:t>≥6块</w:t>
            </w:r>
          </w:p>
        </w:tc>
      </w:tr>
      <w:tr w14:paraId="53E0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43DB8782">
            <w:pPr>
              <w:spacing w:line="240" w:lineRule="auto"/>
              <w:jc w:val="center"/>
              <w:rPr>
                <w:rFonts w:hint="eastAsia" w:ascii="宋体" w:hAnsi="宋体"/>
                <w:sz w:val="18"/>
                <w:szCs w:val="18"/>
              </w:rPr>
            </w:pPr>
            <w:r>
              <w:rPr>
                <w:rFonts w:hint="eastAsia" w:ascii="宋体" w:hAnsi="宋体"/>
                <w:sz w:val="18"/>
                <w:szCs w:val="18"/>
              </w:rPr>
              <w:t>1</w:t>
            </w:r>
          </w:p>
        </w:tc>
        <w:tc>
          <w:tcPr>
            <w:tcW w:w="1247" w:type="pct"/>
            <w:shd w:val="clear" w:color="auto" w:fill="auto"/>
            <w:vAlign w:val="center"/>
          </w:tcPr>
          <w:p w14:paraId="42106AE8">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p>
        </w:tc>
        <w:tc>
          <w:tcPr>
            <w:tcW w:w="627" w:type="pct"/>
            <w:shd w:val="clear" w:color="auto" w:fill="auto"/>
            <w:vAlign w:val="center"/>
          </w:tcPr>
          <w:p w14:paraId="5128FB34">
            <w:pPr>
              <w:spacing w:line="240" w:lineRule="auto"/>
              <w:jc w:val="center"/>
              <w:rPr>
                <w:rFonts w:hint="eastAsia" w:ascii="宋体" w:hAnsi="宋体"/>
                <w:sz w:val="18"/>
                <w:szCs w:val="18"/>
              </w:rPr>
            </w:pPr>
            <w:r>
              <w:rPr>
                <w:rFonts w:hint="eastAsia" w:ascii="宋体" w:hAnsi="宋体"/>
                <w:sz w:val="18"/>
                <w:szCs w:val="18"/>
              </w:rPr>
              <w:t>0</w:t>
            </w:r>
          </w:p>
        </w:tc>
        <w:tc>
          <w:tcPr>
            <w:tcW w:w="631" w:type="pct"/>
            <w:shd w:val="clear" w:color="auto" w:fill="auto"/>
            <w:vAlign w:val="center"/>
          </w:tcPr>
          <w:p w14:paraId="4D888696">
            <w:pPr>
              <w:spacing w:line="240" w:lineRule="auto"/>
              <w:jc w:val="center"/>
              <w:rPr>
                <w:rFonts w:hint="eastAsia" w:ascii="宋体" w:hAnsi="宋体"/>
                <w:sz w:val="18"/>
                <w:szCs w:val="18"/>
              </w:rPr>
            </w:pPr>
            <w:r>
              <w:rPr>
                <w:rFonts w:hint="eastAsia" w:ascii="宋体" w:hAnsi="宋体"/>
                <w:sz w:val="18"/>
                <w:szCs w:val="18"/>
              </w:rPr>
              <w:t>0</w:t>
            </w:r>
          </w:p>
        </w:tc>
        <w:tc>
          <w:tcPr>
            <w:tcW w:w="630" w:type="pct"/>
            <w:shd w:val="clear" w:color="auto" w:fill="auto"/>
            <w:vAlign w:val="center"/>
          </w:tcPr>
          <w:p w14:paraId="2D4CABE4">
            <w:pPr>
              <w:spacing w:line="240" w:lineRule="auto"/>
              <w:jc w:val="center"/>
              <w:rPr>
                <w:rFonts w:hint="eastAsia" w:ascii="宋体" w:hAnsi="宋体"/>
                <w:sz w:val="18"/>
                <w:szCs w:val="18"/>
              </w:rPr>
            </w:pPr>
            <w:r>
              <w:rPr>
                <w:rFonts w:hint="eastAsia" w:ascii="宋体" w:hAnsi="宋体"/>
                <w:sz w:val="18"/>
                <w:szCs w:val="18"/>
              </w:rPr>
              <w:t>0</w:t>
            </w:r>
          </w:p>
        </w:tc>
        <w:tc>
          <w:tcPr>
            <w:tcW w:w="631" w:type="pct"/>
            <w:shd w:val="clear" w:color="auto" w:fill="auto"/>
            <w:vAlign w:val="center"/>
          </w:tcPr>
          <w:p w14:paraId="0DB6CB6E">
            <w:pPr>
              <w:spacing w:line="240" w:lineRule="auto"/>
              <w:jc w:val="center"/>
              <w:rPr>
                <w:rFonts w:hint="eastAsia" w:ascii="宋体" w:hAnsi="宋体"/>
                <w:sz w:val="18"/>
                <w:szCs w:val="18"/>
              </w:rPr>
            </w:pPr>
            <w:r>
              <w:rPr>
                <w:rFonts w:ascii="宋体" w:hAnsi="宋体"/>
                <w:sz w:val="18"/>
                <w:szCs w:val="18"/>
              </w:rPr>
              <w:t>0</w:t>
            </w:r>
          </w:p>
        </w:tc>
      </w:tr>
      <w:tr w14:paraId="3B28B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158604F3">
            <w:pPr>
              <w:spacing w:line="240" w:lineRule="auto"/>
              <w:jc w:val="center"/>
              <w:rPr>
                <w:rFonts w:hint="eastAsia" w:ascii="宋体" w:hAnsi="宋体"/>
                <w:sz w:val="18"/>
                <w:szCs w:val="18"/>
              </w:rPr>
            </w:pPr>
            <w:r>
              <w:rPr>
                <w:rFonts w:hint="eastAsia" w:ascii="宋体" w:hAnsi="宋体"/>
                <w:sz w:val="18"/>
                <w:szCs w:val="18"/>
              </w:rPr>
              <w:t>2</w:t>
            </w:r>
          </w:p>
        </w:tc>
        <w:tc>
          <w:tcPr>
            <w:tcW w:w="1247" w:type="pct"/>
            <w:shd w:val="clear" w:color="auto" w:fill="auto"/>
            <w:vAlign w:val="center"/>
          </w:tcPr>
          <w:p w14:paraId="7D3AED52">
            <w:pPr>
              <w:spacing w:line="240" w:lineRule="auto"/>
              <w:jc w:val="center"/>
              <w:rPr>
                <w:rFonts w:hint="eastAsia" w:ascii="宋体" w:hAnsi="宋体"/>
                <w:sz w:val="18"/>
                <w:szCs w:val="18"/>
              </w:rPr>
            </w:pPr>
            <w:r>
              <w:rPr>
                <w:rFonts w:hint="eastAsia" w:ascii="宋体" w:hAnsi="宋体"/>
                <w:sz w:val="18"/>
                <w:szCs w:val="18"/>
              </w:rPr>
              <w:t>5</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8%</w:t>
            </w:r>
          </w:p>
        </w:tc>
        <w:tc>
          <w:tcPr>
            <w:tcW w:w="627" w:type="pct"/>
            <w:shd w:val="clear" w:color="auto" w:fill="auto"/>
            <w:vAlign w:val="center"/>
          </w:tcPr>
          <w:p w14:paraId="5851628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c>
          <w:tcPr>
            <w:tcW w:w="631" w:type="pct"/>
            <w:shd w:val="clear" w:color="auto" w:fill="auto"/>
            <w:vAlign w:val="center"/>
          </w:tcPr>
          <w:p w14:paraId="6FD4234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.35</w:t>
            </w:r>
          </w:p>
        </w:tc>
        <w:tc>
          <w:tcPr>
            <w:tcW w:w="630" w:type="pct"/>
            <w:shd w:val="clear" w:color="auto" w:fill="auto"/>
            <w:vAlign w:val="center"/>
          </w:tcPr>
          <w:p w14:paraId="0FDD47A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.25</w:t>
            </w:r>
          </w:p>
        </w:tc>
        <w:tc>
          <w:tcPr>
            <w:tcW w:w="631" w:type="pct"/>
            <w:shd w:val="clear" w:color="auto" w:fill="auto"/>
            <w:vAlign w:val="center"/>
          </w:tcPr>
          <w:p w14:paraId="7AFDEE37">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.15</w:t>
            </w:r>
          </w:p>
        </w:tc>
      </w:tr>
      <w:tr w14:paraId="1B7F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0BC6AB93">
            <w:pPr>
              <w:spacing w:line="240" w:lineRule="auto"/>
              <w:jc w:val="center"/>
              <w:rPr>
                <w:rFonts w:hint="eastAsia" w:ascii="宋体" w:hAnsi="宋体"/>
                <w:sz w:val="18"/>
                <w:szCs w:val="18"/>
              </w:rPr>
            </w:pPr>
            <w:r>
              <w:rPr>
                <w:rFonts w:hint="eastAsia" w:ascii="宋体" w:hAnsi="宋体"/>
                <w:sz w:val="18"/>
                <w:szCs w:val="18"/>
              </w:rPr>
              <w:t>3</w:t>
            </w:r>
          </w:p>
        </w:tc>
        <w:tc>
          <w:tcPr>
            <w:tcW w:w="1247" w:type="pct"/>
            <w:shd w:val="clear" w:color="auto" w:fill="auto"/>
            <w:vAlign w:val="center"/>
          </w:tcPr>
          <w:p w14:paraId="773D05A6">
            <w:pPr>
              <w:spacing w:line="240" w:lineRule="auto"/>
              <w:jc w:val="center"/>
              <w:rPr>
                <w:rFonts w:hint="eastAsia" w:ascii="宋体" w:hAnsi="宋体"/>
                <w:sz w:val="18"/>
                <w:szCs w:val="18"/>
              </w:rPr>
            </w:pPr>
            <w:r>
              <w:rPr>
                <w:rFonts w:hint="eastAsia" w:ascii="宋体" w:hAnsi="宋体"/>
                <w:sz w:val="18"/>
                <w:szCs w:val="18"/>
              </w:rPr>
              <w:t>8</w:t>
            </w:r>
            <w:r>
              <w:rPr>
                <w:rFonts w:ascii="宋体" w:hAnsi="宋体"/>
                <w:sz w:val="18"/>
                <w:szCs w:val="18"/>
              </w:rPr>
              <w:t>%</w:t>
            </w:r>
            <w:r>
              <w:rPr>
                <w:rFonts w:hint="default" w:ascii="Times New Roman" w:hAnsi="Times New Roman" w:cs="Times New Roman"/>
                <w:sz w:val="18"/>
                <w:szCs w:val="18"/>
                <w:lang w:val="en-US" w:eastAsia="zh-CN"/>
              </w:rPr>
              <w:t>~</w:t>
            </w:r>
            <w:r>
              <w:rPr>
                <w:rFonts w:ascii="宋体" w:hAnsi="宋体"/>
                <w:sz w:val="18"/>
                <w:szCs w:val="18"/>
              </w:rPr>
              <w:t>14%</w:t>
            </w:r>
          </w:p>
        </w:tc>
        <w:tc>
          <w:tcPr>
            <w:tcW w:w="627" w:type="pct"/>
            <w:shd w:val="clear" w:color="auto" w:fill="auto"/>
            <w:vAlign w:val="center"/>
          </w:tcPr>
          <w:p w14:paraId="7A1E53F3">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.7</w:t>
            </w:r>
          </w:p>
        </w:tc>
        <w:tc>
          <w:tcPr>
            <w:tcW w:w="631" w:type="pct"/>
            <w:shd w:val="clear" w:color="auto" w:fill="auto"/>
            <w:vAlign w:val="center"/>
          </w:tcPr>
          <w:p w14:paraId="3823B281">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.49</w:t>
            </w:r>
          </w:p>
        </w:tc>
        <w:tc>
          <w:tcPr>
            <w:tcW w:w="630" w:type="pct"/>
            <w:shd w:val="clear" w:color="auto" w:fill="auto"/>
            <w:vAlign w:val="center"/>
          </w:tcPr>
          <w:p w14:paraId="7AE1D29D">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.35</w:t>
            </w:r>
          </w:p>
        </w:tc>
        <w:tc>
          <w:tcPr>
            <w:tcW w:w="631" w:type="pct"/>
            <w:shd w:val="clear" w:color="auto" w:fill="auto"/>
            <w:vAlign w:val="center"/>
          </w:tcPr>
          <w:p w14:paraId="734E5D2B">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.21</w:t>
            </w:r>
          </w:p>
        </w:tc>
      </w:tr>
      <w:tr w14:paraId="35C9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34" w:type="pct"/>
            <w:shd w:val="clear" w:color="auto" w:fill="auto"/>
            <w:vAlign w:val="center"/>
          </w:tcPr>
          <w:p w14:paraId="7CA7213C">
            <w:pPr>
              <w:spacing w:line="240" w:lineRule="auto"/>
              <w:jc w:val="center"/>
              <w:rPr>
                <w:rFonts w:hint="eastAsia" w:ascii="宋体" w:hAnsi="宋体"/>
                <w:sz w:val="18"/>
                <w:szCs w:val="18"/>
              </w:rPr>
            </w:pPr>
            <w:r>
              <w:rPr>
                <w:rFonts w:hint="eastAsia" w:ascii="宋体" w:hAnsi="宋体"/>
                <w:sz w:val="18"/>
                <w:szCs w:val="18"/>
              </w:rPr>
              <w:t>4</w:t>
            </w:r>
          </w:p>
        </w:tc>
        <w:tc>
          <w:tcPr>
            <w:tcW w:w="1247" w:type="pct"/>
            <w:shd w:val="clear" w:color="auto" w:fill="auto"/>
            <w:vAlign w:val="center"/>
          </w:tcPr>
          <w:p w14:paraId="54B3604C">
            <w:pPr>
              <w:spacing w:line="240" w:lineRule="auto"/>
              <w:jc w:val="center"/>
              <w:rPr>
                <w:rFonts w:hint="eastAsia" w:ascii="宋体" w:hAnsi="宋体"/>
                <w:sz w:val="18"/>
                <w:szCs w:val="18"/>
              </w:rPr>
            </w:pPr>
            <w:r>
              <w:rPr>
                <w:rFonts w:hint="eastAsia" w:ascii="宋体" w:hAnsi="宋体"/>
                <w:sz w:val="18"/>
                <w:szCs w:val="18"/>
              </w:rPr>
              <w:t>＞</w:t>
            </w:r>
            <w:r>
              <w:rPr>
                <w:rFonts w:ascii="宋体" w:hAnsi="宋体"/>
                <w:sz w:val="18"/>
                <w:szCs w:val="18"/>
              </w:rPr>
              <w:t>14%</w:t>
            </w:r>
          </w:p>
        </w:tc>
        <w:tc>
          <w:tcPr>
            <w:tcW w:w="627" w:type="pct"/>
            <w:shd w:val="clear" w:color="auto" w:fill="auto"/>
            <w:vAlign w:val="center"/>
          </w:tcPr>
          <w:p w14:paraId="5BD8FA28">
            <w:pPr>
              <w:spacing w:line="240" w:lineRule="auto"/>
              <w:jc w:val="center"/>
              <w:rPr>
                <w:rFonts w:hint="eastAsia" w:ascii="宋体" w:hAnsi="宋体"/>
                <w:sz w:val="18"/>
                <w:szCs w:val="18"/>
              </w:rPr>
            </w:pPr>
            <w:r>
              <w:rPr>
                <w:rFonts w:hint="eastAsia" w:ascii="宋体" w:hAnsi="宋体"/>
                <w:sz w:val="18"/>
                <w:szCs w:val="18"/>
              </w:rPr>
              <w:t>1</w:t>
            </w:r>
          </w:p>
        </w:tc>
        <w:tc>
          <w:tcPr>
            <w:tcW w:w="631" w:type="pct"/>
            <w:shd w:val="clear" w:color="auto" w:fill="auto"/>
            <w:vAlign w:val="center"/>
          </w:tcPr>
          <w:p w14:paraId="09A2A6C0">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.7</w:t>
            </w:r>
          </w:p>
        </w:tc>
        <w:tc>
          <w:tcPr>
            <w:tcW w:w="630" w:type="pct"/>
            <w:shd w:val="clear" w:color="auto" w:fill="auto"/>
            <w:vAlign w:val="center"/>
          </w:tcPr>
          <w:p w14:paraId="59BFB123">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c>
          <w:tcPr>
            <w:tcW w:w="631" w:type="pct"/>
            <w:shd w:val="clear" w:color="auto" w:fill="auto"/>
            <w:vAlign w:val="center"/>
          </w:tcPr>
          <w:p w14:paraId="3C02A4C1">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w:t>
            </w:r>
          </w:p>
        </w:tc>
      </w:tr>
      <w:tr w14:paraId="53A1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000" w:type="pct"/>
            <w:gridSpan w:val="6"/>
            <w:shd w:val="clear" w:color="auto" w:fill="auto"/>
            <w:vAlign w:val="center"/>
          </w:tcPr>
          <w:p w14:paraId="4D134F73">
            <w:pPr>
              <w:spacing w:line="240" w:lineRule="auto"/>
              <w:jc w:val="center"/>
              <w:rPr>
                <w:rFonts w:hint="eastAsia" w:ascii="宋体" w:hAnsi="宋体"/>
                <w:sz w:val="18"/>
                <w:szCs w:val="18"/>
              </w:rPr>
            </w:pPr>
            <w:r>
              <w:rPr>
                <w:rFonts w:hint="eastAsia" w:ascii="宋体" w:hAnsi="宋体"/>
                <w:sz w:val="18"/>
                <w:szCs w:val="18"/>
              </w:rPr>
              <w:t>对于检测温度低于JTG F40</w:t>
            </w:r>
            <w:r>
              <w:rPr>
                <w:rFonts w:hint="eastAsia" w:ascii="宋体" w:hAnsi="宋体"/>
                <w:sz w:val="18"/>
                <w:szCs w:val="18"/>
                <w:lang w:val="en-US" w:eastAsia="zh-CN"/>
              </w:rPr>
              <w:t>-2004表5.2.2</w:t>
            </w:r>
            <w:r>
              <w:rPr>
                <w:rFonts w:hint="eastAsia" w:ascii="宋体" w:hAnsi="宋体"/>
                <w:sz w:val="18"/>
                <w:szCs w:val="18"/>
              </w:rPr>
              <w:t>中相应工序所要求的最低温度的，权重均按照第4类取值。</w:t>
            </w:r>
          </w:p>
        </w:tc>
      </w:tr>
    </w:tbl>
    <w:p w14:paraId="5E40E518">
      <w:pPr>
        <w:pStyle w:val="106"/>
        <w:spacing w:before="156" w:after="156"/>
      </w:pPr>
      <w:bookmarkStart w:id="58" w:name="_Toc1960"/>
      <w:r>
        <w:rPr>
          <w:rFonts w:hint="eastAsia"/>
        </w:rPr>
        <w:t>报告</w:t>
      </w:r>
      <w:bookmarkEnd w:id="58"/>
    </w:p>
    <w:p w14:paraId="08906F85">
      <w:pPr>
        <w:pStyle w:val="166"/>
        <w:numPr>
          <w:ilvl w:val="3"/>
          <w:numId w:val="0"/>
        </w:numPr>
        <w:ind w:leftChars="0" w:firstLine="420" w:firstLineChars="200"/>
        <w:rPr>
          <w:rFonts w:hint="eastAsia" w:eastAsia="宋体"/>
          <w:lang w:eastAsia="zh-CN"/>
        </w:rPr>
      </w:pPr>
      <w:r>
        <w:rPr>
          <w:rFonts w:hint="eastAsia"/>
        </w:rPr>
        <w:t>报告应包括如下内容</w:t>
      </w:r>
      <w:r>
        <w:rPr>
          <w:rFonts w:hint="eastAsia"/>
          <w:lang w:eastAsia="zh-CN"/>
        </w:rPr>
        <w:t>。</w:t>
      </w:r>
    </w:p>
    <w:p w14:paraId="3C5C9414">
      <w:pPr>
        <w:pStyle w:val="57"/>
        <w:numPr>
          <w:ilvl w:val="0"/>
          <w:numId w:val="32"/>
        </w:numPr>
      </w:pPr>
      <w:r>
        <w:rPr>
          <w:rFonts w:hint="eastAsia"/>
        </w:rPr>
        <w:t>本文件编号及项目概况</w:t>
      </w:r>
      <w:r>
        <w:rPr>
          <w:rFonts w:hint="eastAsia"/>
          <w:lang w:eastAsia="zh-CN"/>
        </w:rPr>
        <w:t>。</w:t>
      </w:r>
    </w:p>
    <w:p w14:paraId="498D7F3D">
      <w:pPr>
        <w:pStyle w:val="57"/>
        <w:numPr>
          <w:ilvl w:val="0"/>
          <w:numId w:val="32"/>
        </w:numPr>
      </w:pPr>
      <w:r>
        <w:rPr>
          <w:rFonts w:hint="eastAsia"/>
        </w:rPr>
        <w:t>检测设备及标定结果</w:t>
      </w:r>
      <w:r>
        <w:rPr>
          <w:rFonts w:hint="eastAsia"/>
          <w:lang w:eastAsia="zh-CN"/>
        </w:rPr>
        <w:t>。</w:t>
      </w:r>
    </w:p>
    <w:p w14:paraId="097DDC90">
      <w:pPr>
        <w:pStyle w:val="57"/>
        <w:numPr>
          <w:ilvl w:val="0"/>
          <w:numId w:val="32"/>
        </w:numPr>
      </w:pPr>
      <w:r>
        <w:rPr>
          <w:rFonts w:hint="eastAsia"/>
        </w:rPr>
        <w:t>检测范围及检测过程</w:t>
      </w:r>
      <w:r>
        <w:rPr>
          <w:rFonts w:hint="eastAsia"/>
          <w:lang w:eastAsia="zh-CN"/>
        </w:rPr>
        <w:t>。</w:t>
      </w:r>
    </w:p>
    <w:p w14:paraId="6396BB79">
      <w:pPr>
        <w:pStyle w:val="57"/>
        <w:numPr>
          <w:ilvl w:val="0"/>
          <w:numId w:val="32"/>
        </w:numPr>
      </w:pPr>
      <w:r>
        <w:rPr>
          <w:rFonts w:hint="eastAsia"/>
        </w:rPr>
        <w:t>检测结果：</w:t>
      </w:r>
    </w:p>
    <w:p w14:paraId="79975C7F">
      <w:pPr>
        <w:pStyle w:val="57"/>
      </w:pPr>
      <w:r>
        <w:rPr>
          <w:rFonts w:hint="eastAsia"/>
        </w:rPr>
        <w:t>1）数据类结果：测区温度场原始数据及检测数据处理结果，包括极差，温差系数，变异系数，低温区域面积系数，低温区域分布系数等；</w:t>
      </w:r>
    </w:p>
    <w:p w14:paraId="0336148F">
      <w:pPr>
        <w:pStyle w:val="57"/>
        <w:rPr>
          <w:rFonts w:hint="eastAsia" w:eastAsia="宋体"/>
          <w:lang w:val="en-US" w:eastAsia="zh-CN"/>
        </w:rPr>
      </w:pPr>
      <w:r>
        <w:rPr>
          <w:rFonts w:hint="eastAsia"/>
        </w:rPr>
        <w:t>2）图件类结果：包括测区划分图，测量方式图，测区温度场云图，低温区域分布图，成果解释图等</w:t>
      </w:r>
      <w:r>
        <w:rPr>
          <w:rFonts w:hint="eastAsia"/>
          <w:lang w:eastAsia="zh-CN"/>
        </w:rPr>
        <w:t>；</w:t>
      </w:r>
    </w:p>
    <w:p w14:paraId="79E1CE1C">
      <w:pPr>
        <w:pStyle w:val="57"/>
        <w:numPr>
          <w:ilvl w:val="0"/>
          <w:numId w:val="32"/>
        </w:numPr>
      </w:pPr>
      <w:r>
        <w:rPr>
          <w:rFonts w:hint="eastAsia"/>
        </w:rPr>
        <w:t>检测结论。</w:t>
      </w:r>
    </w:p>
    <w:p w14:paraId="17662F4A">
      <w:pPr>
        <w:pStyle w:val="105"/>
        <w:spacing w:before="312" w:after="312"/>
        <w:rPr>
          <w:szCs w:val="21"/>
        </w:rPr>
      </w:pPr>
      <w:bookmarkStart w:id="59" w:name="_Toc23304"/>
      <w:bookmarkStart w:id="60" w:name="_Toc20428"/>
      <w:r>
        <w:rPr>
          <w:rFonts w:hint="eastAsia"/>
          <w:szCs w:val="21"/>
        </w:rPr>
        <w:t>三维探地雷达法沥青路面施工压实</w:t>
      </w:r>
      <w:bookmarkEnd w:id="59"/>
      <w:r>
        <w:rPr>
          <w:rFonts w:hint="eastAsia"/>
          <w:szCs w:val="21"/>
        </w:rPr>
        <w:t>及厚度均匀性检测</w:t>
      </w:r>
      <w:bookmarkEnd w:id="60"/>
    </w:p>
    <w:p w14:paraId="3561874B">
      <w:pPr>
        <w:pStyle w:val="106"/>
        <w:spacing w:before="156" w:after="156"/>
      </w:pPr>
      <w:bookmarkStart w:id="61" w:name="_Toc5465"/>
      <w:r>
        <w:rPr>
          <w:rFonts w:hint="eastAsia"/>
        </w:rPr>
        <w:t>原理</w:t>
      </w:r>
      <w:bookmarkEnd w:id="61"/>
    </w:p>
    <w:p w14:paraId="13B0A9CC">
      <w:pPr>
        <w:pStyle w:val="166"/>
        <w:rPr>
          <w:rFonts w:hint="eastAsia"/>
        </w:rPr>
      </w:pPr>
      <w:r>
        <w:rPr>
          <w:rFonts w:hint="eastAsia"/>
        </w:rPr>
        <w:t>基于电磁波的传播特性，通过分析高频电磁波在沥青路面表面反射信号</w:t>
      </w:r>
      <w:r>
        <w:rPr>
          <w:rFonts w:hint="eastAsia"/>
          <w:lang w:val="en-US" w:eastAsia="zh-CN"/>
        </w:rPr>
        <w:t>同金属板反射信号的比例</w:t>
      </w:r>
      <w:r>
        <w:rPr>
          <w:rFonts w:hint="eastAsia"/>
        </w:rPr>
        <w:t>，计算路表的介电常数，进而利用沥青路面的压实度与其介电常数之间的正相关关系间接评估压实均匀性。</w:t>
      </w:r>
    </w:p>
    <w:p w14:paraId="28589C91">
      <w:pPr>
        <w:pStyle w:val="166"/>
        <w:rPr>
          <w:rFonts w:hint="eastAsia"/>
        </w:rPr>
      </w:pPr>
      <w:r>
        <w:rPr>
          <w:rFonts w:hint="eastAsia"/>
        </w:rPr>
        <w:t>基于电磁波的传播特性，通过分析高频电磁波在沥青路面表面反射信号与</w:t>
      </w:r>
      <w:r>
        <w:rPr>
          <w:rFonts w:hint="eastAsia"/>
          <w:lang w:eastAsia="zh-CN"/>
        </w:rPr>
        <w:t>折射</w:t>
      </w:r>
      <w:r>
        <w:rPr>
          <w:rFonts w:hint="eastAsia"/>
        </w:rPr>
        <w:t>信号，</w:t>
      </w:r>
      <w:r>
        <w:rPr>
          <w:rFonts w:hint="eastAsia"/>
          <w:lang w:val="en-US" w:eastAsia="zh-CN"/>
        </w:rPr>
        <w:t>得到路面各层</w:t>
      </w:r>
      <w:r>
        <w:rPr>
          <w:rFonts w:hint="eastAsia"/>
        </w:rPr>
        <w:t>的介电常数，结合电磁波在介质中的传播速度</w:t>
      </w:r>
      <w:r>
        <w:rPr>
          <w:rFonts w:hint="eastAsia"/>
          <w:lang w:val="en-US" w:eastAsia="zh-CN"/>
        </w:rPr>
        <w:t>计算各结构层厚度</w:t>
      </w:r>
      <w:r>
        <w:rPr>
          <w:rFonts w:hint="eastAsia"/>
        </w:rPr>
        <w:t>，</w:t>
      </w:r>
      <w:r>
        <w:rPr>
          <w:rFonts w:hint="eastAsia"/>
          <w:lang w:val="en-US" w:eastAsia="zh-CN"/>
        </w:rPr>
        <w:t>进而评估沥青</w:t>
      </w:r>
      <w:r>
        <w:rPr>
          <w:rFonts w:hint="eastAsia"/>
        </w:rPr>
        <w:t>厚度均匀性。</w:t>
      </w:r>
    </w:p>
    <w:p w14:paraId="44E76F16">
      <w:pPr>
        <w:pStyle w:val="106"/>
        <w:spacing w:before="156" w:after="156"/>
      </w:pPr>
      <w:bookmarkStart w:id="62" w:name="_bookmark17"/>
      <w:bookmarkEnd w:id="62"/>
      <w:bookmarkStart w:id="63" w:name="_Toc27891"/>
      <w:r>
        <w:rPr>
          <w:rFonts w:hint="eastAsia"/>
        </w:rPr>
        <w:t>仪器设备</w:t>
      </w:r>
      <w:bookmarkEnd w:id="63"/>
    </w:p>
    <w:p w14:paraId="76DCB4B2">
      <w:pPr>
        <w:pStyle w:val="166"/>
        <w:rPr>
          <w:rFonts w:hint="eastAsia"/>
        </w:rPr>
      </w:pPr>
      <w:r>
        <w:rPr>
          <w:rFonts w:hint="eastAsia" w:ascii="Times New Roman" w:hAnsi="Times New Roman"/>
          <w:lang w:bidi="ar"/>
        </w:rPr>
        <w:t>三维</w:t>
      </w:r>
      <w:r>
        <w:rPr>
          <w:rFonts w:hint="eastAsia"/>
        </w:rPr>
        <w:t>探地雷达系统</w:t>
      </w:r>
    </w:p>
    <w:p w14:paraId="369C977F">
      <w:pPr>
        <w:pStyle w:val="166"/>
        <w:numPr>
          <w:ilvl w:val="3"/>
          <w:numId w:val="0"/>
        </w:numPr>
        <w:ind w:leftChars="0" w:firstLine="420" w:firstLineChars="200"/>
        <w:rPr>
          <w:rFonts w:hint="eastAsia"/>
        </w:rPr>
      </w:pPr>
      <w:r>
        <w:rPr>
          <w:rFonts w:hint="eastAsia" w:ascii="Times New Roman" w:hAnsi="Times New Roman"/>
          <w:lang w:bidi="ar"/>
        </w:rPr>
        <w:t>三维</w:t>
      </w:r>
      <w:r>
        <w:rPr>
          <w:rFonts w:hint="eastAsia"/>
        </w:rPr>
        <w:t>探地雷达系统</w:t>
      </w:r>
      <w:r>
        <w:rPr>
          <w:rFonts w:hint="eastAsia"/>
          <w:lang w:eastAsia="zh-CN"/>
        </w:rPr>
        <w:t>应符合以下要求。</w:t>
      </w:r>
    </w:p>
    <w:p w14:paraId="23E54848">
      <w:pPr>
        <w:pStyle w:val="57"/>
        <w:rPr>
          <w:rFonts w:hint="eastAsia" w:eastAsia="宋体"/>
          <w:lang w:eastAsia="zh-CN"/>
        </w:rPr>
      </w:pPr>
      <w:r>
        <w:rPr>
          <w:rFonts w:hint="eastAsia" w:ascii="Times New Roman"/>
          <w:spacing w:val="-11"/>
        </w:rPr>
        <w:t>a）</w:t>
      </w:r>
      <w:r>
        <w:rPr>
          <w:rFonts w:hint="eastAsia"/>
        </w:rPr>
        <w:t>应</w:t>
      </w:r>
      <w:r>
        <w:rPr>
          <w:rFonts w:hint="eastAsia"/>
          <w:lang w:val="en-US" w:eastAsia="zh-CN"/>
        </w:rPr>
        <w:t>按照</w:t>
      </w:r>
      <w:r>
        <w:rPr>
          <w:rFonts w:hint="eastAsia"/>
        </w:rPr>
        <w:t>相关规定</w:t>
      </w:r>
      <w:r>
        <w:rPr>
          <w:rFonts w:hint="eastAsia"/>
          <w:lang w:val="en-US" w:eastAsia="zh-CN"/>
        </w:rPr>
        <w:t>进行</w:t>
      </w:r>
      <w:r>
        <w:rPr>
          <w:rFonts w:hint="eastAsia"/>
        </w:rPr>
        <w:t>三维探地雷达系统的检验、校准</w:t>
      </w:r>
      <w:r>
        <w:rPr>
          <w:rFonts w:hint="eastAsia"/>
          <w:lang w:eastAsia="zh-CN"/>
        </w:rPr>
        <w:t>。</w:t>
      </w:r>
    </w:p>
    <w:p w14:paraId="35750441">
      <w:pPr>
        <w:pStyle w:val="57"/>
      </w:pPr>
      <w:r>
        <w:rPr>
          <w:rFonts w:hint="eastAsia" w:ascii="Times New Roman"/>
          <w:spacing w:val="-11"/>
        </w:rPr>
        <w:t>b）</w:t>
      </w:r>
      <w:r>
        <w:rPr>
          <w:rFonts w:hint="eastAsia"/>
        </w:rPr>
        <w:t>雷达天线可选用脉冲式或频率步进式空气耦合天线，单独进行沥青路面施工压实均匀性检测时，</w:t>
      </w:r>
      <w:r>
        <w:rPr>
          <w:rFonts w:hint="eastAsia"/>
          <w:lang w:val="en-US" w:eastAsia="zh-CN"/>
        </w:rPr>
        <w:t>宜</w:t>
      </w:r>
      <w:r>
        <w:rPr>
          <w:rFonts w:hint="eastAsia"/>
        </w:rPr>
        <w:t>选用高频率雷达天线，脉冲式雷达中心频率不应小于1.3GHz。与厚度均匀性同时检测</w:t>
      </w:r>
      <w:r>
        <w:rPr>
          <w:rFonts w:hint="eastAsia"/>
          <w:lang w:eastAsia="zh-CN"/>
        </w:rPr>
        <w:t>或</w:t>
      </w:r>
      <w:r>
        <w:rPr>
          <w:rFonts w:hint="eastAsia"/>
        </w:rPr>
        <w:t>单独进行厚度均匀性检测时，天线中心频率或天线带宽</w:t>
      </w:r>
      <w:r>
        <w:rPr>
          <w:rFonts w:hint="eastAsia"/>
          <w:lang w:val="en-US" w:eastAsia="zh-CN"/>
        </w:rPr>
        <w:t>见表3</w:t>
      </w:r>
      <w:r>
        <w:rPr>
          <w:rFonts w:hint="eastAsia"/>
        </w:rPr>
        <w:t>。</w:t>
      </w:r>
    </w:p>
    <w:p w14:paraId="645A7849">
      <w:pPr>
        <w:pStyle w:val="113"/>
        <w:spacing w:before="156" w:after="156"/>
        <w:ind w:left="0"/>
      </w:pPr>
      <w:r>
        <w:t>天线参数选定表</w:t>
      </w:r>
    </w:p>
    <w:tbl>
      <w:tblPr>
        <w:tblStyle w:val="27"/>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0" w:type="dxa"/>
          <w:bottom w:w="0" w:type="dxa"/>
          <w:right w:w="0" w:type="dxa"/>
        </w:tblCellMar>
      </w:tblPr>
      <w:tblGrid>
        <w:gridCol w:w="2339"/>
        <w:gridCol w:w="2343"/>
        <w:gridCol w:w="2343"/>
        <w:gridCol w:w="2339"/>
      </w:tblGrid>
      <w:tr w14:paraId="26589252">
        <w:tblPrEx>
          <w:tblCellMar>
            <w:top w:w="0" w:type="dxa"/>
            <w:left w:w="0" w:type="dxa"/>
            <w:bottom w:w="0" w:type="dxa"/>
            <w:right w:w="0" w:type="dxa"/>
          </w:tblCellMar>
        </w:tblPrEx>
        <w:trPr>
          <w:trHeight w:val="313" w:hRule="atLeast"/>
        </w:trPr>
        <w:tc>
          <w:tcPr>
            <w:tcW w:w="1249" w:type="pct"/>
            <w:tcBorders>
              <w:left w:val="single" w:color="000000" w:sz="4" w:space="0"/>
              <w:bottom w:val="single" w:color="000000" w:sz="4" w:space="0"/>
              <w:right w:val="single" w:color="000000" w:sz="4" w:space="0"/>
            </w:tcBorders>
            <w:vAlign w:val="center"/>
          </w:tcPr>
          <w:p w14:paraId="2D2F34DE">
            <w:pPr>
              <w:spacing w:line="240" w:lineRule="auto"/>
              <w:jc w:val="center"/>
              <w:rPr>
                <w:rFonts w:ascii="Times New Roman" w:hAnsi="Times New Roman"/>
                <w:sz w:val="18"/>
                <w:szCs w:val="18"/>
              </w:rPr>
            </w:pPr>
            <w:r>
              <w:rPr>
                <w:rFonts w:ascii="Times New Roman" w:hAnsi="Times New Roman"/>
                <w:sz w:val="18"/>
                <w:szCs w:val="18"/>
              </w:rPr>
              <w:t>探测深度（m）</w:t>
            </w:r>
          </w:p>
        </w:tc>
        <w:tc>
          <w:tcPr>
            <w:tcW w:w="1251" w:type="pct"/>
            <w:tcBorders>
              <w:left w:val="single" w:color="000000" w:sz="4" w:space="0"/>
              <w:bottom w:val="single" w:color="000000" w:sz="4" w:space="0"/>
              <w:right w:val="single" w:color="000000" w:sz="4" w:space="0"/>
            </w:tcBorders>
            <w:vAlign w:val="center"/>
          </w:tcPr>
          <w:p w14:paraId="64B38C1E">
            <w:pPr>
              <w:spacing w:line="240" w:lineRule="auto"/>
              <w:jc w:val="center"/>
              <w:rPr>
                <w:rFonts w:ascii="Times New Roman" w:hAnsi="Times New Roman"/>
                <w:sz w:val="18"/>
                <w:szCs w:val="18"/>
              </w:rPr>
            </w:pPr>
            <w:r>
              <w:rPr>
                <w:rFonts w:ascii="Times New Roman" w:hAnsi="Times New Roman"/>
                <w:sz w:val="18"/>
                <w:szCs w:val="18"/>
              </w:rPr>
              <w:t>最小分辨率（cm）</w:t>
            </w:r>
          </w:p>
        </w:tc>
        <w:tc>
          <w:tcPr>
            <w:tcW w:w="1251" w:type="pct"/>
            <w:tcBorders>
              <w:left w:val="single" w:color="000000" w:sz="4" w:space="0"/>
              <w:bottom w:val="single" w:color="000000" w:sz="4" w:space="0"/>
              <w:right w:val="single" w:color="000000" w:sz="4" w:space="0"/>
            </w:tcBorders>
            <w:vAlign w:val="center"/>
          </w:tcPr>
          <w:p w14:paraId="7714968E">
            <w:pPr>
              <w:spacing w:line="240" w:lineRule="auto"/>
              <w:jc w:val="center"/>
              <w:rPr>
                <w:rFonts w:ascii="Times New Roman" w:hAnsi="Times New Roman"/>
                <w:sz w:val="18"/>
                <w:szCs w:val="18"/>
              </w:rPr>
            </w:pPr>
            <w:r>
              <w:rPr>
                <w:rFonts w:ascii="Times New Roman" w:hAnsi="Times New Roman"/>
                <w:sz w:val="18"/>
                <w:szCs w:val="18"/>
              </w:rPr>
              <w:t>中心频率（MHz）</w:t>
            </w:r>
          </w:p>
        </w:tc>
        <w:tc>
          <w:tcPr>
            <w:tcW w:w="1249" w:type="pct"/>
            <w:tcBorders>
              <w:left w:val="single" w:color="000000" w:sz="4" w:space="0"/>
              <w:bottom w:val="single" w:color="000000" w:sz="4" w:space="0"/>
              <w:right w:val="single" w:color="000000" w:sz="4" w:space="0"/>
            </w:tcBorders>
            <w:vAlign w:val="center"/>
          </w:tcPr>
          <w:p w14:paraId="1F30086E">
            <w:pPr>
              <w:spacing w:line="240" w:lineRule="auto"/>
              <w:jc w:val="center"/>
              <w:rPr>
                <w:rFonts w:ascii="Times New Roman" w:hAnsi="Times New Roman"/>
                <w:sz w:val="18"/>
                <w:szCs w:val="18"/>
              </w:rPr>
            </w:pPr>
            <w:r>
              <w:rPr>
                <w:rFonts w:ascii="Times New Roman" w:hAnsi="Times New Roman"/>
                <w:sz w:val="18"/>
                <w:szCs w:val="18"/>
              </w:rPr>
              <w:t>带宽（GHz）</w:t>
            </w:r>
          </w:p>
        </w:tc>
      </w:tr>
      <w:tr w14:paraId="050812C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trPr>
        <w:tc>
          <w:tcPr>
            <w:tcW w:w="1249" w:type="pct"/>
            <w:tcBorders>
              <w:left w:val="single" w:color="000000" w:sz="4" w:space="0"/>
              <w:bottom w:val="single" w:color="000000" w:sz="4" w:space="0"/>
              <w:right w:val="single" w:color="000000" w:sz="4" w:space="0"/>
            </w:tcBorders>
            <w:vAlign w:val="center"/>
          </w:tcPr>
          <w:p w14:paraId="48A4B329">
            <w:pPr>
              <w:spacing w:line="240" w:lineRule="auto"/>
              <w:jc w:val="center"/>
              <w:rPr>
                <w:rFonts w:ascii="Times New Roman" w:hAnsi="Times New Roman"/>
                <w:sz w:val="18"/>
                <w:szCs w:val="18"/>
              </w:rPr>
            </w:pPr>
            <w:r>
              <w:rPr>
                <w:rFonts w:ascii="Times New Roman" w:hAnsi="Times New Roman"/>
                <w:sz w:val="18"/>
                <w:szCs w:val="18"/>
              </w:rPr>
              <w:t>&lt;0.4</w:t>
            </w:r>
          </w:p>
        </w:tc>
        <w:tc>
          <w:tcPr>
            <w:tcW w:w="1251" w:type="pct"/>
            <w:tcBorders>
              <w:left w:val="single" w:color="000000" w:sz="4" w:space="0"/>
              <w:bottom w:val="single" w:color="000000" w:sz="4" w:space="0"/>
              <w:right w:val="single" w:color="000000" w:sz="4" w:space="0"/>
            </w:tcBorders>
            <w:vAlign w:val="center"/>
          </w:tcPr>
          <w:p w14:paraId="58426592">
            <w:pPr>
              <w:spacing w:line="240" w:lineRule="auto"/>
              <w:jc w:val="center"/>
              <w:rPr>
                <w:rFonts w:ascii="Times New Roman" w:hAnsi="Times New Roman"/>
                <w:sz w:val="18"/>
                <w:szCs w:val="18"/>
              </w:rPr>
            </w:pPr>
            <w:r>
              <w:rPr>
                <w:rFonts w:ascii="Times New Roman" w:hAnsi="Times New Roman"/>
                <w:sz w:val="18"/>
                <w:szCs w:val="18"/>
              </w:rPr>
              <w:t>1.0</w:t>
            </w:r>
          </w:p>
        </w:tc>
        <w:tc>
          <w:tcPr>
            <w:tcW w:w="1251" w:type="pct"/>
            <w:tcBorders>
              <w:left w:val="single" w:color="000000" w:sz="4" w:space="0"/>
              <w:bottom w:val="single" w:color="000000" w:sz="4" w:space="0"/>
              <w:right w:val="single" w:color="000000" w:sz="4" w:space="0"/>
            </w:tcBorders>
            <w:vAlign w:val="center"/>
          </w:tcPr>
          <w:p w14:paraId="1ED5B126">
            <w:pPr>
              <w:spacing w:line="240" w:lineRule="auto"/>
              <w:jc w:val="center"/>
              <w:rPr>
                <w:rFonts w:ascii="Times New Roman" w:hAnsi="Times New Roman"/>
                <w:sz w:val="18"/>
                <w:szCs w:val="18"/>
              </w:rPr>
            </w:pPr>
            <w:r>
              <w:rPr>
                <w:rFonts w:ascii="Times New Roman" w:hAnsi="Times New Roman"/>
                <w:sz w:val="18"/>
                <w:szCs w:val="18"/>
              </w:rPr>
              <w:t>2000~3000</w:t>
            </w:r>
          </w:p>
        </w:tc>
        <w:tc>
          <w:tcPr>
            <w:tcW w:w="1249" w:type="pct"/>
            <w:tcBorders>
              <w:left w:val="single" w:color="000000" w:sz="4" w:space="0"/>
              <w:bottom w:val="single" w:color="000000" w:sz="4" w:space="0"/>
              <w:right w:val="single" w:color="000000" w:sz="4" w:space="0"/>
            </w:tcBorders>
            <w:vAlign w:val="center"/>
          </w:tcPr>
          <w:p w14:paraId="66EFB886">
            <w:pPr>
              <w:spacing w:line="240" w:lineRule="auto"/>
              <w:jc w:val="center"/>
              <w:rPr>
                <w:rFonts w:ascii="Times New Roman" w:hAnsi="Times New Roman"/>
                <w:sz w:val="18"/>
                <w:szCs w:val="18"/>
              </w:rPr>
            </w:pPr>
            <w:r>
              <w:rPr>
                <w:rFonts w:ascii="Times New Roman" w:hAnsi="Times New Roman"/>
                <w:sz w:val="18"/>
                <w:szCs w:val="18"/>
              </w:rPr>
              <w:t>2.0~3.0</w:t>
            </w:r>
          </w:p>
        </w:tc>
      </w:tr>
      <w:tr w14:paraId="3D6B52A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4" w:hRule="atLeast"/>
        </w:trPr>
        <w:tc>
          <w:tcPr>
            <w:tcW w:w="1249" w:type="pct"/>
            <w:tcBorders>
              <w:top w:val="single" w:color="000000" w:sz="4" w:space="0"/>
              <w:left w:val="single" w:color="000000" w:sz="4" w:space="0"/>
              <w:bottom w:val="single" w:color="000000" w:sz="4" w:space="0"/>
              <w:right w:val="single" w:color="000000" w:sz="4" w:space="0"/>
            </w:tcBorders>
            <w:vAlign w:val="center"/>
          </w:tcPr>
          <w:p w14:paraId="2467EDCD">
            <w:pPr>
              <w:spacing w:line="240" w:lineRule="auto"/>
              <w:jc w:val="center"/>
              <w:rPr>
                <w:rFonts w:ascii="Times New Roman" w:hAnsi="Times New Roman"/>
                <w:sz w:val="18"/>
                <w:szCs w:val="18"/>
              </w:rPr>
            </w:pPr>
            <w:r>
              <w:rPr>
                <w:rFonts w:ascii="Times New Roman" w:hAnsi="Times New Roman"/>
                <w:sz w:val="18"/>
                <w:szCs w:val="18"/>
              </w:rPr>
              <w:t>0.4~0.7</w:t>
            </w:r>
          </w:p>
        </w:tc>
        <w:tc>
          <w:tcPr>
            <w:tcW w:w="1251" w:type="pct"/>
            <w:tcBorders>
              <w:top w:val="single" w:color="000000" w:sz="4" w:space="0"/>
              <w:left w:val="single" w:color="000000" w:sz="4" w:space="0"/>
              <w:bottom w:val="single" w:color="000000" w:sz="4" w:space="0"/>
              <w:right w:val="single" w:color="000000" w:sz="4" w:space="0"/>
            </w:tcBorders>
            <w:vAlign w:val="center"/>
          </w:tcPr>
          <w:p w14:paraId="6E6FECE4">
            <w:pPr>
              <w:spacing w:line="240" w:lineRule="auto"/>
              <w:jc w:val="center"/>
              <w:rPr>
                <w:rFonts w:ascii="Times New Roman" w:hAnsi="Times New Roman"/>
                <w:sz w:val="18"/>
                <w:szCs w:val="18"/>
              </w:rPr>
            </w:pPr>
            <w:r>
              <w:rPr>
                <w:rFonts w:ascii="Times New Roman" w:hAnsi="Times New Roman"/>
                <w:sz w:val="18"/>
                <w:szCs w:val="18"/>
              </w:rPr>
              <w:t>1.6</w:t>
            </w:r>
          </w:p>
        </w:tc>
        <w:tc>
          <w:tcPr>
            <w:tcW w:w="1251" w:type="pct"/>
            <w:tcBorders>
              <w:top w:val="single" w:color="000000" w:sz="4" w:space="0"/>
              <w:left w:val="single" w:color="000000" w:sz="4" w:space="0"/>
              <w:bottom w:val="single" w:color="000000" w:sz="4" w:space="0"/>
              <w:right w:val="single" w:color="000000" w:sz="4" w:space="0"/>
            </w:tcBorders>
            <w:vAlign w:val="center"/>
          </w:tcPr>
          <w:p w14:paraId="301E99BB">
            <w:pPr>
              <w:spacing w:line="240" w:lineRule="auto"/>
              <w:jc w:val="center"/>
              <w:rPr>
                <w:rFonts w:ascii="Times New Roman" w:hAnsi="Times New Roman"/>
                <w:sz w:val="18"/>
                <w:szCs w:val="18"/>
              </w:rPr>
            </w:pPr>
            <w:r>
              <w:rPr>
                <w:rFonts w:ascii="Times New Roman" w:hAnsi="Times New Roman"/>
                <w:sz w:val="18"/>
                <w:szCs w:val="18"/>
              </w:rPr>
              <w:t>1300~2000</w:t>
            </w:r>
          </w:p>
        </w:tc>
        <w:tc>
          <w:tcPr>
            <w:tcW w:w="1249" w:type="pct"/>
            <w:tcBorders>
              <w:top w:val="single" w:color="000000" w:sz="4" w:space="0"/>
              <w:left w:val="single" w:color="000000" w:sz="4" w:space="0"/>
              <w:bottom w:val="single" w:color="000000" w:sz="4" w:space="0"/>
              <w:right w:val="single" w:color="000000" w:sz="4" w:space="0"/>
            </w:tcBorders>
            <w:vAlign w:val="center"/>
          </w:tcPr>
          <w:p w14:paraId="79893444">
            <w:pPr>
              <w:spacing w:line="240" w:lineRule="auto"/>
              <w:jc w:val="center"/>
              <w:rPr>
                <w:rFonts w:ascii="Times New Roman" w:hAnsi="Times New Roman"/>
                <w:sz w:val="18"/>
                <w:szCs w:val="18"/>
              </w:rPr>
            </w:pPr>
            <w:r>
              <w:rPr>
                <w:rFonts w:ascii="Times New Roman" w:hAnsi="Times New Roman"/>
                <w:sz w:val="18"/>
                <w:szCs w:val="18"/>
              </w:rPr>
              <w:t>1.5~2.3</w:t>
            </w:r>
          </w:p>
        </w:tc>
      </w:tr>
      <w:tr w14:paraId="18E4935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trPr>
        <w:tc>
          <w:tcPr>
            <w:tcW w:w="1249" w:type="pct"/>
            <w:tcBorders>
              <w:top w:val="single" w:color="000000" w:sz="4" w:space="0"/>
              <w:left w:val="single" w:color="000000" w:sz="4" w:space="0"/>
              <w:bottom w:val="single" w:color="000000" w:sz="4" w:space="0"/>
              <w:right w:val="single" w:color="000000" w:sz="4" w:space="0"/>
            </w:tcBorders>
            <w:vAlign w:val="center"/>
          </w:tcPr>
          <w:p w14:paraId="1F8343CF">
            <w:pPr>
              <w:spacing w:line="240" w:lineRule="auto"/>
              <w:jc w:val="center"/>
              <w:rPr>
                <w:rFonts w:ascii="Times New Roman" w:hAnsi="Times New Roman"/>
                <w:sz w:val="18"/>
                <w:szCs w:val="18"/>
              </w:rPr>
            </w:pPr>
            <w:r>
              <w:rPr>
                <w:rFonts w:ascii="Times New Roman" w:hAnsi="Times New Roman"/>
                <w:sz w:val="18"/>
                <w:szCs w:val="18"/>
              </w:rPr>
              <w:t>0.7~1</w:t>
            </w:r>
          </w:p>
        </w:tc>
        <w:tc>
          <w:tcPr>
            <w:tcW w:w="1251" w:type="pct"/>
            <w:tcBorders>
              <w:top w:val="single" w:color="000000" w:sz="4" w:space="0"/>
              <w:left w:val="single" w:color="000000" w:sz="4" w:space="0"/>
              <w:bottom w:val="single" w:color="000000" w:sz="4" w:space="0"/>
              <w:right w:val="single" w:color="000000" w:sz="4" w:space="0"/>
            </w:tcBorders>
            <w:vAlign w:val="center"/>
          </w:tcPr>
          <w:p w14:paraId="01749B60">
            <w:pPr>
              <w:spacing w:line="240" w:lineRule="auto"/>
              <w:jc w:val="center"/>
              <w:rPr>
                <w:rFonts w:ascii="Times New Roman" w:hAnsi="Times New Roman"/>
                <w:sz w:val="18"/>
                <w:szCs w:val="18"/>
              </w:rPr>
            </w:pPr>
            <w:r>
              <w:rPr>
                <w:rFonts w:ascii="Times New Roman" w:hAnsi="Times New Roman"/>
                <w:sz w:val="18"/>
                <w:szCs w:val="18"/>
              </w:rPr>
              <w:t>2.5</w:t>
            </w:r>
          </w:p>
        </w:tc>
        <w:tc>
          <w:tcPr>
            <w:tcW w:w="1251" w:type="pct"/>
            <w:tcBorders>
              <w:top w:val="single" w:color="000000" w:sz="4" w:space="0"/>
              <w:left w:val="single" w:color="000000" w:sz="4" w:space="0"/>
              <w:bottom w:val="single" w:color="000000" w:sz="4" w:space="0"/>
              <w:right w:val="single" w:color="000000" w:sz="4" w:space="0"/>
            </w:tcBorders>
            <w:vAlign w:val="center"/>
          </w:tcPr>
          <w:p w14:paraId="3B63DE53">
            <w:pPr>
              <w:spacing w:line="240" w:lineRule="auto"/>
              <w:jc w:val="center"/>
              <w:rPr>
                <w:rFonts w:ascii="Times New Roman" w:hAnsi="Times New Roman"/>
                <w:sz w:val="18"/>
                <w:szCs w:val="18"/>
              </w:rPr>
            </w:pPr>
            <w:r>
              <w:rPr>
                <w:rFonts w:ascii="Times New Roman" w:hAnsi="Times New Roman"/>
                <w:sz w:val="18"/>
                <w:szCs w:val="18"/>
              </w:rPr>
              <w:t>900~1300</w:t>
            </w:r>
          </w:p>
        </w:tc>
        <w:tc>
          <w:tcPr>
            <w:tcW w:w="1249" w:type="pct"/>
            <w:tcBorders>
              <w:top w:val="single" w:color="000000" w:sz="4" w:space="0"/>
              <w:left w:val="single" w:color="000000" w:sz="4" w:space="0"/>
              <w:bottom w:val="single" w:color="000000" w:sz="4" w:space="0"/>
              <w:right w:val="single" w:color="000000" w:sz="4" w:space="0"/>
            </w:tcBorders>
            <w:vAlign w:val="center"/>
          </w:tcPr>
          <w:p w14:paraId="6AFCC20F">
            <w:pPr>
              <w:spacing w:line="240" w:lineRule="auto"/>
              <w:jc w:val="center"/>
              <w:rPr>
                <w:rFonts w:ascii="Times New Roman" w:hAnsi="Times New Roman"/>
                <w:sz w:val="18"/>
                <w:szCs w:val="18"/>
              </w:rPr>
            </w:pPr>
            <w:r>
              <w:rPr>
                <w:rFonts w:ascii="Times New Roman" w:hAnsi="Times New Roman"/>
                <w:sz w:val="18"/>
                <w:szCs w:val="18"/>
              </w:rPr>
              <w:t>1.0~1.8</w:t>
            </w:r>
          </w:p>
        </w:tc>
      </w:tr>
    </w:tbl>
    <w:p w14:paraId="34FBC364">
      <w:pPr>
        <w:pStyle w:val="57"/>
      </w:pPr>
      <w:r>
        <w:rPr>
          <w:rFonts w:hint="eastAsia" w:ascii="Times New Roman"/>
          <w:spacing w:val="-11"/>
        </w:rPr>
        <w:t>c）</w:t>
      </w:r>
      <w:r>
        <w:rPr>
          <w:rFonts w:hint="eastAsia"/>
        </w:rPr>
        <w:t>当</w:t>
      </w:r>
      <w:r>
        <w:rPr>
          <w:rFonts w:hint="eastAsia" w:ascii="Times New Roman"/>
          <w:spacing w:val="-11"/>
        </w:rPr>
        <w:t>进行</w:t>
      </w:r>
      <w:r>
        <w:rPr>
          <w:rFonts w:hint="eastAsia"/>
        </w:rPr>
        <w:t>厚度均匀性检测时，</w:t>
      </w:r>
      <w:r>
        <w:t>时窗宽度由</w:t>
      </w:r>
      <w:r>
        <w:rPr>
          <w:rFonts w:hint="eastAsia"/>
        </w:rPr>
        <w:t>公式（</w:t>
      </w:r>
      <w:r>
        <w:rPr>
          <w:rFonts w:hint="eastAsia"/>
          <w:lang w:val="en-US" w:eastAsia="zh-CN"/>
        </w:rPr>
        <w:t>6</w:t>
      </w:r>
      <w:r>
        <w:rPr>
          <w:rFonts w:hint="eastAsia"/>
        </w:rPr>
        <w:t>）</w:t>
      </w:r>
      <w:r>
        <w:t>确定：</w:t>
      </w:r>
    </w:p>
    <w:p w14:paraId="0F3B41C5">
      <w:pPr>
        <w:pStyle w:val="57"/>
        <w:jc w:val="right"/>
        <w:rPr>
          <w:rFonts w:hint="eastAsia" w:ascii="Times New Roman"/>
          <w:spacing w:val="-11"/>
        </w:rPr>
      </w:pPr>
      <w:r>
        <w:rPr>
          <w:rFonts w:hint="eastAsia"/>
          <w:position w:val="-23"/>
        </w:rPr>
        <w:object>
          <v:shape id="_x0000_i1030" o:spt="75" type="#_x0000_t75" style="height:29pt;width:56.4pt;" o:ole="t" filled="f" o:preferrelative="t" stroked="f" coordsize="21600,21600">
            <v:path/>
            <v:fill on="f" focussize="0,0"/>
            <v:stroke on="f" joinstyle="miter"/>
            <v:imagedata r:id="rId29" o:title=""/>
            <o:lock v:ext="edit" aspectratio="t"/>
            <w10:wrap type="none"/>
            <w10:anchorlock/>
          </v:shape>
          <o:OLEObject Type="Embed" ProgID="Equation.AxMath" ShapeID="_x0000_i1030" DrawAspect="Content" ObjectID="_1468075730" r:id="rId28">
            <o:LockedField>false</o:LockedField>
          </o:OLEObject>
        </w:object>
      </w:r>
      <w:r>
        <w:t>…………………………………………（</w:t>
      </w:r>
      <w:r>
        <w:rPr>
          <w:rFonts w:hint="eastAsia" w:ascii="Cambria Math" w:hAnsi="Cambria Math"/>
          <w:lang w:val="en-US" w:eastAsia="zh-CN"/>
        </w:rPr>
        <w:t>6</w:t>
      </w:r>
      <w:r>
        <w:rPr>
          <w:rFonts w:ascii="Cambria Math" w:hAnsi="Cambria Math"/>
        </w:rPr>
        <w:t>）</w:t>
      </w:r>
    </w:p>
    <w:p w14:paraId="0463EFCC">
      <w:pPr>
        <w:pStyle w:val="57"/>
      </w:pPr>
      <w:r>
        <w:t>式中：</w:t>
      </w:r>
    </w:p>
    <w:p w14:paraId="10D58D00">
      <w:pPr>
        <w:pStyle w:val="57"/>
      </w:pPr>
      <m:oMath>
        <m:r>
          <m:rPr/>
          <w:rPr>
            <w:rFonts w:hint="eastAsia" w:ascii="Cambria Math" w:hAnsi="Cambria Math"/>
          </w:rPr>
          <m:t>T</m:t>
        </m:r>
      </m:oMath>
      <w:r>
        <w:t>——时窗宽度</w:t>
      </w:r>
      <w:r>
        <w:rPr>
          <w:rFonts w:hint="eastAsia"/>
          <w:lang w:eastAsia="zh-CN"/>
        </w:rPr>
        <w:t>，</w:t>
      </w:r>
      <w:r>
        <w:rPr>
          <w:rFonts w:hint="eastAsia"/>
          <w:lang w:val="en-US" w:eastAsia="zh-CN"/>
        </w:rPr>
        <w:t>单位为纳秒</w:t>
      </w:r>
      <w:r>
        <w:t>（ns）；</w:t>
      </w:r>
    </w:p>
    <w:p w14:paraId="081D3021">
      <w:pPr>
        <w:pStyle w:val="57"/>
      </w:pPr>
      <m:oMath>
        <m:r>
          <m:rPr/>
          <w:rPr>
            <w:rFonts w:ascii="Cambria Math" w:hAnsi="Cambria Math"/>
          </w:rPr>
          <m:t>K</m:t>
        </m:r>
      </m:oMath>
      <w:r>
        <w:t>——时窗加权系数，取2</w:t>
      </w:r>
      <w:r>
        <w:rPr>
          <w:rFonts w:hint="default" w:ascii="Times New Roman" w:hAnsi="Times New Roman" w:cs="Times New Roman"/>
        </w:rPr>
        <w:t>~</w:t>
      </w:r>
      <w:r>
        <w:t>2.5，充分考虑目标结构层深度的变化；</w:t>
      </w:r>
    </w:p>
    <w:p w14:paraId="205A2255">
      <w:pPr>
        <w:pStyle w:val="57"/>
      </w:pPr>
      <m:oMath>
        <m:sSub>
          <m:sSubPr>
            <m:ctrlPr>
              <w:rPr>
                <w:rFonts w:ascii="Cambria Math" w:hAnsi="Cambria Math"/>
              </w:rPr>
            </m:ctrlPr>
          </m:sSubPr>
          <m:e>
            <m:r>
              <m:rPr/>
              <w:rPr>
                <w:rFonts w:ascii="Cambria Math" w:hAnsi="Cambria Math"/>
              </w:rPr>
              <m:t>H</m:t>
            </m:r>
            <m:ctrlPr>
              <w:rPr>
                <w:rFonts w:ascii="Cambria Math" w:hAnsi="Cambria Math"/>
              </w:rPr>
            </m:ctrlPr>
          </m:e>
          <m:sub>
            <m:r>
              <m:rPr/>
              <w:rPr>
                <w:rFonts w:ascii="Cambria Math" w:hAnsi="Cambria Math"/>
              </w:rPr>
              <m:t>m</m:t>
            </m:r>
            <m:ctrlPr>
              <w:rPr>
                <w:rFonts w:ascii="Cambria Math" w:hAnsi="Cambria Math"/>
              </w:rPr>
            </m:ctrlPr>
          </m:sub>
        </m:sSub>
      </m:oMath>
      <w:r>
        <w:t>——目标探测深度</w:t>
      </w:r>
      <w:r>
        <w:rPr>
          <w:rFonts w:hint="eastAsia"/>
          <w:lang w:eastAsia="zh-CN"/>
        </w:rPr>
        <w:t>，</w:t>
      </w:r>
      <w:r>
        <w:rPr>
          <w:rFonts w:hint="eastAsia"/>
          <w:lang w:val="en-US" w:eastAsia="zh-CN"/>
        </w:rPr>
        <w:t>单位为厘米</w:t>
      </w:r>
      <w:r>
        <w:t>（cm）；</w:t>
      </w:r>
    </w:p>
    <w:p w14:paraId="002D08D6">
      <w:pPr>
        <w:pStyle w:val="57"/>
      </w:pPr>
      <m:oMath>
        <m:r>
          <m:rPr/>
          <w:rPr>
            <w:rFonts w:ascii="Cambria Math" w:hAnsi="Cambria Math"/>
          </w:rPr>
          <m:t>v</m:t>
        </m:r>
      </m:oMath>
      <w:r>
        <w:t>——电磁波在道路材料介质中的传播速度</w:t>
      </w:r>
      <w:r>
        <w:rPr>
          <w:rFonts w:hint="eastAsia"/>
          <w:lang w:eastAsia="zh-CN"/>
        </w:rPr>
        <w:t>，</w:t>
      </w:r>
      <w:r>
        <w:rPr>
          <w:rFonts w:hint="eastAsia"/>
          <w:lang w:val="en-US" w:eastAsia="zh-CN"/>
        </w:rPr>
        <w:t>单位为厘米每纳秒</w:t>
      </w:r>
      <w:r>
        <w:t>（cm/ns）。</w:t>
      </w:r>
    </w:p>
    <w:p w14:paraId="3CB12DBB">
      <w:pPr>
        <w:pStyle w:val="57"/>
      </w:pPr>
      <w:r>
        <w:rPr>
          <w:rFonts w:hint="eastAsia" w:ascii="Times New Roman"/>
          <w:spacing w:val="-11"/>
        </w:rPr>
        <w:t>d）采样间隔</w:t>
      </w:r>
      <w:r>
        <w:rPr>
          <w:rFonts w:hint="eastAsia"/>
        </w:rPr>
        <w:t>根据需要设定，</w:t>
      </w:r>
      <w:r>
        <w:rPr>
          <w:rFonts w:hint="eastAsia"/>
          <w:lang w:val="en-US" w:eastAsia="zh-CN"/>
        </w:rPr>
        <w:t>宜</w:t>
      </w:r>
      <w:r>
        <w:rPr>
          <w:rFonts w:hint="eastAsia"/>
        </w:rPr>
        <w:t>不大于0.15m。</w:t>
      </w:r>
    </w:p>
    <w:p w14:paraId="1E9E1F61">
      <w:pPr>
        <w:pStyle w:val="166"/>
        <w:rPr>
          <w:rFonts w:hint="eastAsia"/>
        </w:rPr>
      </w:pPr>
      <w:r>
        <w:rPr>
          <w:rFonts w:hint="eastAsia"/>
        </w:rPr>
        <w:t>三维探地雷达定位设备</w:t>
      </w:r>
    </w:p>
    <w:p w14:paraId="1EB479EA">
      <w:pPr>
        <w:pStyle w:val="57"/>
      </w:pPr>
      <w:r>
        <w:rPr>
          <w:rFonts w:hint="eastAsia"/>
        </w:rPr>
        <w:t>可选择厘米级分辨率实时动态载波相位差分</w:t>
      </w:r>
      <w:r>
        <w:rPr>
          <w:rFonts w:hint="eastAsia"/>
          <w:lang w:eastAsia="zh-CN"/>
        </w:rPr>
        <w:t>（</w:t>
      </w:r>
      <w:r>
        <w:rPr>
          <w:rFonts w:hint="eastAsia"/>
        </w:rPr>
        <w:t>RTK</w:t>
      </w:r>
      <w:r>
        <w:rPr>
          <w:rFonts w:hint="eastAsia"/>
          <w:lang w:eastAsia="zh-CN"/>
        </w:rPr>
        <w:t>）</w:t>
      </w:r>
      <w:r>
        <w:rPr>
          <w:rFonts w:hint="eastAsia"/>
        </w:rPr>
        <w:t>测量接收机，其性能指标应符合</w:t>
      </w:r>
      <w:r>
        <w:rPr>
          <w:rFonts w:hint="eastAsia"/>
          <w:lang w:val="en-US" w:eastAsia="zh-CN"/>
        </w:rPr>
        <w:t>JJG</w:t>
      </w:r>
      <w:r>
        <w:rPr>
          <w:rFonts w:hint="eastAsia"/>
        </w:rPr>
        <w:t xml:space="preserve">/T </w:t>
      </w:r>
      <w:r>
        <w:rPr>
          <w:rFonts w:hint="eastAsia"/>
          <w:lang w:val="en-US" w:eastAsia="zh-CN"/>
        </w:rPr>
        <w:t>E61</w:t>
      </w:r>
      <w:r>
        <w:rPr>
          <w:rFonts w:hint="eastAsia"/>
        </w:rPr>
        <w:t>的相关规定。</w:t>
      </w:r>
    </w:p>
    <w:p w14:paraId="66BD7A02">
      <w:pPr>
        <w:pStyle w:val="166"/>
        <w:rPr>
          <w:rFonts w:hint="eastAsia"/>
        </w:rPr>
      </w:pPr>
      <w:r>
        <w:rPr>
          <w:rFonts w:hint="eastAsia"/>
        </w:rPr>
        <w:t>其他</w:t>
      </w:r>
      <w:r>
        <w:rPr>
          <w:rFonts w:hint="eastAsia"/>
          <w:lang w:eastAsia="zh-CN"/>
        </w:rPr>
        <w:t>设备</w:t>
      </w:r>
    </w:p>
    <w:p w14:paraId="084F224A">
      <w:pPr>
        <w:pStyle w:val="166"/>
        <w:numPr>
          <w:ilvl w:val="3"/>
          <w:numId w:val="0"/>
        </w:numPr>
        <w:ind w:leftChars="0" w:firstLine="420" w:firstLineChars="200"/>
        <w:rPr>
          <w:rFonts w:hint="eastAsia"/>
        </w:rPr>
      </w:pPr>
      <w:r>
        <w:rPr>
          <w:rFonts w:hint="eastAsia"/>
        </w:rPr>
        <w:t>标定金属板应采用方形铁板或铜板，表面平整，面积不小于0.01m</w:t>
      </w:r>
      <w:r>
        <w:rPr>
          <w:rFonts w:hint="eastAsia"/>
          <w:vertAlign w:val="superscript"/>
        </w:rPr>
        <w:t>2</w:t>
      </w:r>
      <w:r>
        <w:rPr>
          <w:rFonts w:hint="eastAsia"/>
        </w:rPr>
        <w:t>；50m卷尺等。</w:t>
      </w:r>
    </w:p>
    <w:p w14:paraId="621033A8">
      <w:pPr>
        <w:pStyle w:val="106"/>
        <w:spacing w:before="156" w:after="156"/>
      </w:pPr>
      <w:bookmarkStart w:id="64" w:name="_Toc9941"/>
      <w:r>
        <w:rPr>
          <w:rFonts w:hint="eastAsia"/>
        </w:rPr>
        <w:t>检测</w:t>
      </w:r>
      <w:r>
        <w:rPr>
          <w:rFonts w:hint="eastAsia"/>
          <w:lang w:eastAsia="zh-CN"/>
        </w:rPr>
        <w:t>步骤及要求</w:t>
      </w:r>
      <w:bookmarkEnd w:id="64"/>
    </w:p>
    <w:p w14:paraId="00154295">
      <w:pPr>
        <w:pStyle w:val="166"/>
        <w:rPr>
          <w:rFonts w:hint="eastAsia"/>
        </w:rPr>
      </w:pPr>
      <w:r>
        <w:rPr>
          <w:rFonts w:hint="eastAsia"/>
        </w:rPr>
        <w:t>准备工作</w:t>
      </w:r>
    </w:p>
    <w:p w14:paraId="1D6D27A5">
      <w:pPr>
        <w:pStyle w:val="57"/>
        <w:rPr>
          <w:rFonts w:hint="default"/>
          <w:lang w:val="en-US"/>
        </w:rPr>
      </w:pPr>
      <w:r>
        <w:rPr>
          <w:rFonts w:hint="eastAsia"/>
          <w:lang w:val="en-US" w:eastAsia="zh-CN"/>
        </w:rPr>
        <w:t>准备工作应按以下步骤及要求进行。</w:t>
      </w:r>
    </w:p>
    <w:p w14:paraId="3E1D4BFE">
      <w:pPr>
        <w:pStyle w:val="57"/>
      </w:pPr>
      <w:r>
        <w:rPr>
          <w:rFonts w:hint="eastAsia"/>
        </w:rPr>
        <w:t>a）在雷达数据采集前应搜集：</w:t>
      </w:r>
    </w:p>
    <w:p w14:paraId="04A45FEF">
      <w:pPr>
        <w:pStyle w:val="57"/>
      </w:pPr>
      <w:r>
        <w:rPr>
          <w:rFonts w:hint="eastAsia" w:hAnsi="宋体" w:cs="宋体"/>
        </w:rPr>
        <w:t>——</w:t>
      </w:r>
      <w:r>
        <w:rPr>
          <w:rFonts w:hint="eastAsia"/>
        </w:rPr>
        <w:t>道路工程相关基本资料；</w:t>
      </w:r>
    </w:p>
    <w:p w14:paraId="05721E1E">
      <w:pPr>
        <w:pStyle w:val="57"/>
      </w:pPr>
      <w:r>
        <w:rPr>
          <w:rFonts w:hint="eastAsia" w:hAnsi="宋体" w:cs="宋体"/>
        </w:rPr>
        <w:t>——</w:t>
      </w:r>
      <w:r>
        <w:rPr>
          <w:rFonts w:hint="eastAsia"/>
        </w:rPr>
        <w:t>测区气象条件、交通量等相关资料；</w:t>
      </w:r>
    </w:p>
    <w:p w14:paraId="7283AE0A">
      <w:pPr>
        <w:pStyle w:val="57"/>
      </w:pPr>
      <w:r>
        <w:rPr>
          <w:rFonts w:hint="eastAsia" w:hAnsi="宋体" w:cs="宋体"/>
        </w:rPr>
        <w:t>——</w:t>
      </w:r>
      <w:r>
        <w:rPr>
          <w:rFonts w:hint="eastAsia"/>
        </w:rPr>
        <w:t>测区内既有的探测情况或与探测工作有关的其他资料。</w:t>
      </w:r>
    </w:p>
    <w:p w14:paraId="1AD2F162">
      <w:pPr>
        <w:pStyle w:val="57"/>
      </w:pPr>
      <w:r>
        <w:rPr>
          <w:rFonts w:hint="eastAsia"/>
        </w:rPr>
        <w:t>b）对检测区域进行现场勘查，并制定检测方案，主要包括：</w:t>
      </w:r>
    </w:p>
    <w:p w14:paraId="23FFFBF3">
      <w:pPr>
        <w:pStyle w:val="57"/>
      </w:pPr>
      <w:r>
        <w:rPr>
          <w:rFonts w:hint="eastAsia" w:hAnsi="宋体" w:cs="宋体"/>
        </w:rPr>
        <w:t>——</w:t>
      </w:r>
      <w:r>
        <w:rPr>
          <w:rFonts w:hint="eastAsia"/>
        </w:rPr>
        <w:t>测区地形、交通、通信等工作环境条件；</w:t>
      </w:r>
    </w:p>
    <w:p w14:paraId="644741DB">
      <w:pPr>
        <w:pStyle w:val="57"/>
        <w:rPr>
          <w:rFonts w:hint="eastAsia"/>
        </w:rPr>
      </w:pPr>
      <w:r>
        <w:rPr>
          <w:rFonts w:hint="eastAsia" w:hAnsi="宋体" w:cs="宋体"/>
        </w:rPr>
        <w:t>——</w:t>
      </w:r>
      <w:r>
        <w:rPr>
          <w:rFonts w:hint="eastAsia"/>
        </w:rPr>
        <w:t>雷达典型干扰源的主要分布；</w:t>
      </w:r>
    </w:p>
    <w:p w14:paraId="0D661767">
      <w:pPr>
        <w:pStyle w:val="57"/>
        <w:rPr>
          <w:rFonts w:hint="default" w:eastAsia="宋体"/>
          <w:lang w:val="en-US" w:eastAsia="zh-CN"/>
        </w:rPr>
      </w:pPr>
      <w:r>
        <w:rPr>
          <w:rFonts w:hint="eastAsia" w:hAnsi="宋体" w:cs="宋体"/>
        </w:rPr>
        <w:t>——</w:t>
      </w:r>
      <w:r>
        <w:rPr>
          <w:rFonts w:hint="eastAsia" w:hAnsi="宋体" w:cs="宋体"/>
          <w:lang w:val="en-US" w:eastAsia="zh-CN"/>
        </w:rPr>
        <w:t>路面状况，注意路面潮湿状况下不宜检测，路面积水状况下不应检测；</w:t>
      </w:r>
    </w:p>
    <w:p w14:paraId="13DBC7E9">
      <w:pPr>
        <w:pStyle w:val="57"/>
        <w:rPr>
          <w:rFonts w:hint="eastAsia" w:eastAsia="宋体"/>
          <w:lang w:eastAsia="zh-CN"/>
        </w:rPr>
      </w:pPr>
      <w:r>
        <w:rPr>
          <w:rFonts w:hint="eastAsia" w:hAnsi="宋体" w:cs="宋体"/>
        </w:rPr>
        <w:t>——</w:t>
      </w:r>
      <w:r>
        <w:rPr>
          <w:rFonts w:hint="eastAsia"/>
        </w:rPr>
        <w:t>检验核实已搜集资料的完备性、真实性和有效性，评估现场作业风险</w:t>
      </w:r>
      <w:r>
        <w:rPr>
          <w:rFonts w:hint="eastAsia"/>
          <w:lang w:eastAsia="zh-CN"/>
        </w:rPr>
        <w:t>；</w:t>
      </w:r>
    </w:p>
    <w:p w14:paraId="0102CE8F">
      <w:pPr>
        <w:pStyle w:val="57"/>
      </w:pPr>
      <w:r>
        <w:rPr>
          <w:rFonts w:hint="eastAsia" w:hAnsi="宋体" w:cs="宋体"/>
        </w:rPr>
        <w:t>——</w:t>
      </w:r>
      <w:r>
        <w:rPr>
          <w:rFonts w:hint="eastAsia"/>
        </w:rPr>
        <w:t>根据已有资料和现场勘查情况布置测区检测线路、检测速度等参数，测线应</w:t>
      </w:r>
      <w:r>
        <w:rPr>
          <w:rFonts w:hint="eastAsia"/>
          <w:lang w:val="en-US" w:eastAsia="zh-CN"/>
        </w:rPr>
        <w:t>实现</w:t>
      </w:r>
      <w:r>
        <w:rPr>
          <w:rFonts w:hint="eastAsia"/>
        </w:rPr>
        <w:t>全覆盖，应沿车道前进方向布设，测线间距应不大于三维雷达天线阵列</w:t>
      </w:r>
      <w:r>
        <w:rPr>
          <w:rFonts w:hint="eastAsia"/>
          <w:lang w:val="en-US" w:eastAsia="zh-CN"/>
        </w:rPr>
        <w:t>宽度的</w:t>
      </w:r>
      <w:r>
        <w:rPr>
          <w:rFonts w:hint="eastAsia"/>
        </w:rPr>
        <w:t>0.5倍</w:t>
      </w:r>
      <w:r>
        <w:rPr>
          <w:rFonts w:hint="eastAsia"/>
          <w:lang w:eastAsia="zh-CN"/>
        </w:rPr>
        <w:t>。</w:t>
      </w:r>
    </w:p>
    <w:p w14:paraId="0E85B188">
      <w:pPr>
        <w:pStyle w:val="57"/>
      </w:pPr>
      <w:r>
        <w:rPr>
          <w:rFonts w:hint="eastAsia"/>
        </w:rPr>
        <w:t>c）对检测路段进行清扫，保证路面干燥整洁，无成片积水区域，无大块凸起物。</w:t>
      </w:r>
    </w:p>
    <w:p w14:paraId="19B9E49F">
      <w:pPr>
        <w:pStyle w:val="57"/>
      </w:pPr>
      <w:r>
        <w:rPr>
          <w:rFonts w:hint="eastAsia"/>
        </w:rPr>
        <w:t>d）</w:t>
      </w:r>
      <w:r>
        <w:rPr>
          <w:rFonts w:hint="eastAsia"/>
          <w:lang w:val="en-US" w:eastAsia="zh-CN"/>
        </w:rPr>
        <w:t>按设备说明书规定进行</w:t>
      </w:r>
      <w:r>
        <w:rPr>
          <w:rFonts w:hint="eastAsia"/>
        </w:rPr>
        <w:t>开机预热。</w:t>
      </w:r>
    </w:p>
    <w:p w14:paraId="6C481330">
      <w:pPr>
        <w:pStyle w:val="166"/>
        <w:rPr>
          <w:rFonts w:hint="eastAsia"/>
        </w:rPr>
      </w:pPr>
      <w:r>
        <w:rPr>
          <w:rFonts w:hint="eastAsia"/>
        </w:rPr>
        <w:t>雷达系统标定</w:t>
      </w:r>
    </w:p>
    <w:p w14:paraId="3EA172F6">
      <w:pPr>
        <w:pStyle w:val="57"/>
        <w:rPr>
          <w:rFonts w:hint="eastAsia"/>
        </w:rPr>
      </w:pPr>
      <w:r>
        <w:rPr>
          <w:rFonts w:hint="eastAsia"/>
        </w:rPr>
        <w:t>雷达系统标定</w:t>
      </w:r>
      <w:r>
        <w:rPr>
          <w:rFonts w:hint="eastAsia"/>
          <w:lang w:val="en-US" w:eastAsia="zh-CN"/>
        </w:rPr>
        <w:t>应按以下步骤及要求进行。</w:t>
      </w:r>
    </w:p>
    <w:p w14:paraId="7148F642">
      <w:pPr>
        <w:pStyle w:val="57"/>
        <w:rPr>
          <w:rFonts w:hint="eastAsia" w:eastAsia="宋体"/>
          <w:lang w:val="en-US" w:eastAsia="zh-CN"/>
        </w:rPr>
      </w:pPr>
      <w:r>
        <w:rPr>
          <w:rFonts w:hint="eastAsia"/>
        </w:rPr>
        <w:t>a）数据采集前，应进行距离标定，标定距离不小于</w:t>
      </w:r>
      <w:r>
        <w:rPr>
          <w:rFonts w:hint="eastAsia"/>
          <w:lang w:val="en-US" w:eastAsia="zh-CN"/>
        </w:rPr>
        <w:t>100</w:t>
      </w:r>
      <w:r>
        <w:rPr>
          <w:rFonts w:hint="eastAsia"/>
        </w:rPr>
        <w:t>m，误差不大于0.1%</w:t>
      </w:r>
      <w:r>
        <w:rPr>
          <w:rFonts w:hint="eastAsia"/>
          <w:lang w:eastAsia="zh-CN"/>
        </w:rPr>
        <w:t>。</w:t>
      </w:r>
    </w:p>
    <w:p w14:paraId="77EC4CB9">
      <w:pPr>
        <w:pStyle w:val="57"/>
        <w:rPr>
          <w:rFonts w:hint="eastAsia"/>
        </w:rPr>
      </w:pPr>
      <w:r>
        <w:rPr>
          <w:rFonts w:hint="eastAsia"/>
        </w:rPr>
        <w:t>b）压实均匀性检测雷达系统标定</w:t>
      </w:r>
      <w:r>
        <w:rPr>
          <w:rFonts w:hint="eastAsia"/>
          <w:lang w:val="en-US" w:eastAsia="zh-CN"/>
        </w:rPr>
        <w:t>还</w:t>
      </w:r>
      <w:r>
        <w:rPr>
          <w:rFonts w:hint="eastAsia"/>
        </w:rPr>
        <w:t>包括：</w:t>
      </w:r>
    </w:p>
    <w:p w14:paraId="18693CE3">
      <w:pPr>
        <w:pStyle w:val="57"/>
      </w:pPr>
      <w:r>
        <w:rPr>
          <w:rFonts w:hint="eastAsia"/>
          <w:lang w:val="en-US" w:eastAsia="zh-CN"/>
        </w:rPr>
        <w:t>1</w:t>
      </w:r>
      <w:r>
        <w:rPr>
          <w:rFonts w:hint="eastAsia"/>
        </w:rPr>
        <w:t>）数据采集前，应进行金属板标定，可采用时间模式，将雷达中心固定于金属板正上方，采集时间应不少于5s；亦可采用距离轮触发模式，使雷达中心匀速驶过金属板上方，</w:t>
      </w:r>
      <w:r>
        <w:rPr>
          <w:rFonts w:hint="eastAsia"/>
          <w:lang w:eastAsia="zh-CN"/>
        </w:rPr>
        <w:t>行驶</w:t>
      </w:r>
      <w:r>
        <w:rPr>
          <w:rFonts w:hint="eastAsia"/>
        </w:rPr>
        <w:t>速度应不大于10km/h；</w:t>
      </w:r>
    </w:p>
    <w:p w14:paraId="1A4D26B7">
      <w:pPr>
        <w:pStyle w:val="57"/>
      </w:pPr>
      <w:r>
        <w:rPr>
          <w:rFonts w:hint="eastAsia"/>
          <w:lang w:val="en-US" w:eastAsia="zh-CN"/>
        </w:rPr>
        <w:t>2</w:t>
      </w:r>
      <w:r>
        <w:rPr>
          <w:rFonts w:hint="eastAsia"/>
        </w:rPr>
        <w:t>）采集结束后，应进行压实度标定，建立压实度与介电常数之间的关系。压实度可通过钻芯测试或无核密度仪测试进行定点测试，测试过程应符合JTG 3450的规定</w:t>
      </w:r>
      <w:r>
        <w:rPr>
          <w:rFonts w:hint="eastAsia"/>
          <w:lang w:eastAsia="zh-CN"/>
        </w:rPr>
        <w:t>。</w:t>
      </w:r>
      <w:r>
        <w:rPr>
          <w:rFonts w:hint="eastAsia"/>
        </w:rPr>
        <w:t>测试点数钻芯法不应小于3个，无核密度仪法不应小于9个，测试点位应具有代表性，</w:t>
      </w:r>
      <w:r>
        <w:rPr>
          <w:rFonts w:hint="eastAsia"/>
          <w:lang w:eastAsia="zh-CN"/>
        </w:rPr>
        <w:t>宜</w:t>
      </w:r>
      <w:r>
        <w:rPr>
          <w:rFonts w:hint="eastAsia"/>
        </w:rPr>
        <w:t>覆盖所有测试车道，可在测试范围内采用均匀法、随机法选取，亦可选取目测路面离析处，并记录所选点位精确位置。</w:t>
      </w:r>
    </w:p>
    <w:p w14:paraId="5D694192">
      <w:pPr>
        <w:pStyle w:val="57"/>
      </w:pPr>
      <w:r>
        <w:rPr>
          <w:rFonts w:hint="eastAsia"/>
          <w:lang w:val="en-US" w:eastAsia="zh-CN"/>
        </w:rPr>
        <w:t>c</w:t>
      </w:r>
      <w:r>
        <w:rPr>
          <w:rFonts w:hint="eastAsia"/>
        </w:rPr>
        <w:t>）厚度均匀性检测雷达系统标定</w:t>
      </w:r>
      <w:r>
        <w:rPr>
          <w:rFonts w:hint="eastAsia"/>
          <w:lang w:val="en-US" w:eastAsia="zh-CN"/>
        </w:rPr>
        <w:t>还</w:t>
      </w:r>
      <w:r>
        <w:rPr>
          <w:rFonts w:hint="eastAsia"/>
        </w:rPr>
        <w:t>包括</w:t>
      </w:r>
      <w:r>
        <w:rPr>
          <w:rFonts w:hint="eastAsia"/>
          <w:lang w:eastAsia="zh-CN"/>
        </w:rPr>
        <w:t>，</w:t>
      </w:r>
      <w:r>
        <w:rPr>
          <w:rFonts w:hint="eastAsia"/>
        </w:rPr>
        <w:t>采集结束后，应进行介电常数标定，采用钻芯测试进行定点测试，每种待测结构不应少于3点。采集模式应采用测距轮触发模式或点测模式，标定目标体的厚度不宜小于5cm，宜与检测结构层厚度相一致，标定记录中界面反射信号应清晰、准确。</w:t>
      </w:r>
    </w:p>
    <w:p w14:paraId="4D5FEA46">
      <w:pPr>
        <w:pStyle w:val="166"/>
        <w:rPr>
          <w:rFonts w:hint="eastAsia"/>
        </w:rPr>
      </w:pPr>
      <w:r>
        <w:rPr>
          <w:rFonts w:hint="eastAsia"/>
          <w:lang w:val="en-US" w:eastAsia="zh-CN"/>
        </w:rPr>
        <w:t>检测过程</w:t>
      </w:r>
    </w:p>
    <w:p w14:paraId="26148F0B">
      <w:pPr>
        <w:pStyle w:val="57"/>
        <w:rPr>
          <w:rFonts w:hint="default" w:eastAsia="宋体"/>
          <w:lang w:val="en-US" w:eastAsia="zh-CN"/>
        </w:rPr>
      </w:pPr>
      <w:r>
        <w:rPr>
          <w:rFonts w:hint="eastAsia"/>
        </w:rPr>
        <w:t>三维探地雷达法沥青路面施工压实及厚度均匀性检测</w:t>
      </w:r>
      <w:r>
        <w:rPr>
          <w:rFonts w:hint="eastAsia"/>
          <w:lang w:val="en-US" w:eastAsia="zh-CN"/>
        </w:rPr>
        <w:t>过程应符合以下步骤及要求。</w:t>
      </w:r>
    </w:p>
    <w:p w14:paraId="19144596">
      <w:pPr>
        <w:pStyle w:val="57"/>
        <w:rPr>
          <w:rFonts w:hint="eastAsia"/>
        </w:rPr>
      </w:pPr>
      <w:r>
        <w:rPr>
          <w:rFonts w:hint="eastAsia"/>
        </w:rPr>
        <w:t>a）压实均匀性检测可单独进行，也可与厚度均匀性检测同时进行。</w:t>
      </w:r>
    </w:p>
    <w:p w14:paraId="6900BF1A">
      <w:pPr>
        <w:pStyle w:val="57"/>
        <w:rPr>
          <w:rFonts w:hint="eastAsia"/>
        </w:rPr>
      </w:pPr>
      <w:r>
        <w:rPr>
          <w:rFonts w:hint="eastAsia"/>
          <w:lang w:val="en-US" w:eastAsia="zh-CN"/>
        </w:rPr>
        <w:t>b</w:t>
      </w:r>
      <w:r>
        <w:rPr>
          <w:rFonts w:hint="eastAsia"/>
        </w:rPr>
        <w:t>）沥青路面压实均匀性检测过程中应符合下列步骤</w:t>
      </w:r>
      <w:r>
        <w:rPr>
          <w:rFonts w:hint="eastAsia"/>
          <w:lang w:val="en-US" w:eastAsia="zh-CN"/>
        </w:rPr>
        <w:t>与要求</w:t>
      </w:r>
      <w:r>
        <w:rPr>
          <w:rFonts w:hint="eastAsia"/>
        </w:rPr>
        <w:t>：</w:t>
      </w:r>
    </w:p>
    <w:p w14:paraId="7864C99A">
      <w:pPr>
        <w:pStyle w:val="57"/>
      </w:pPr>
      <w:r>
        <w:rPr>
          <w:rFonts w:hint="eastAsia"/>
          <w:lang w:val="en-US" w:eastAsia="zh-CN"/>
        </w:rPr>
        <w:t>1</w:t>
      </w:r>
      <w:r>
        <w:rPr>
          <w:rFonts w:hint="eastAsia"/>
        </w:rPr>
        <w:t>）探地雷达系统试运行，将采集模式为设定常规采集模式，设定雷达参数并记录，并进行测距仪标定；</w:t>
      </w:r>
    </w:p>
    <w:p w14:paraId="162D2CDB">
      <w:pPr>
        <w:pStyle w:val="57"/>
      </w:pPr>
      <w:r>
        <w:rPr>
          <w:rFonts w:hint="eastAsia"/>
          <w:lang w:val="en-US" w:eastAsia="zh-CN"/>
        </w:rPr>
        <w:t>2</w:t>
      </w:r>
      <w:r>
        <w:rPr>
          <w:rFonts w:hint="eastAsia"/>
        </w:rPr>
        <w:t>）进行金属板标定并单独储存；</w:t>
      </w:r>
    </w:p>
    <w:p w14:paraId="3B91309F">
      <w:pPr>
        <w:pStyle w:val="57"/>
      </w:pPr>
      <w:r>
        <w:rPr>
          <w:rFonts w:hint="eastAsia"/>
          <w:lang w:val="en-US" w:eastAsia="zh-CN"/>
        </w:rPr>
        <w:t>3</w:t>
      </w:r>
      <w:r>
        <w:rPr>
          <w:rFonts w:hint="eastAsia"/>
        </w:rPr>
        <w:t>）按照检测方案进行全覆盖检测，每条侧线单独储存并记录文件名及起终点和检测方向，操作人员应密切关注实时三维地质雷达图像及检测路面情况，对特征信息及异常进行记录，记录表见附录</w:t>
      </w:r>
      <w:r>
        <w:rPr>
          <w:rFonts w:hint="eastAsia"/>
          <w:lang w:val="en-US" w:eastAsia="zh-CN"/>
        </w:rPr>
        <w:t>A</w:t>
      </w:r>
      <w:r>
        <w:rPr>
          <w:rFonts w:hint="eastAsia"/>
        </w:rPr>
        <w:t>；</w:t>
      </w:r>
    </w:p>
    <w:p w14:paraId="035C24D1">
      <w:pPr>
        <w:pStyle w:val="57"/>
      </w:pPr>
      <w:r>
        <w:rPr>
          <w:rFonts w:hint="eastAsia"/>
          <w:lang w:val="en-US" w:eastAsia="zh-CN"/>
        </w:rPr>
        <w:t>4</w:t>
      </w:r>
      <w:r>
        <w:rPr>
          <w:rFonts w:hint="eastAsia"/>
        </w:rPr>
        <w:t>）采集结束后，操作人员检查数据文件，要求文件完整，内容正常，否则重新检测；</w:t>
      </w:r>
    </w:p>
    <w:p w14:paraId="63AD0185">
      <w:pPr>
        <w:pStyle w:val="57"/>
        <w:rPr>
          <w:rFonts w:hint="eastAsia"/>
        </w:rPr>
      </w:pPr>
      <w:r>
        <w:rPr>
          <w:rFonts w:hint="eastAsia"/>
          <w:lang w:val="en-US" w:eastAsia="zh-CN"/>
        </w:rPr>
        <w:t>5</w:t>
      </w:r>
      <w:r>
        <w:rPr>
          <w:rFonts w:hint="eastAsia"/>
        </w:rPr>
        <w:t>）选择钻芯点或无核密度仪检测点进行压实度标定</w:t>
      </w:r>
      <w:r>
        <w:rPr>
          <w:rFonts w:hint="eastAsia"/>
          <w:lang w:eastAsia="zh-CN"/>
        </w:rPr>
        <w:t>，取芯验证时测试点数不应小于3个，无核密度仪验证时测试点数不应小于9个</w:t>
      </w:r>
      <w:r>
        <w:rPr>
          <w:rFonts w:hint="eastAsia"/>
        </w:rPr>
        <w:t>。</w:t>
      </w:r>
    </w:p>
    <w:p w14:paraId="37C96410">
      <w:pPr>
        <w:pStyle w:val="57"/>
        <w:rPr>
          <w:rFonts w:hint="eastAsia" w:eastAsia="宋体"/>
          <w:lang w:eastAsia="zh-CN"/>
        </w:rPr>
      </w:pPr>
      <w:r>
        <w:rPr>
          <w:rFonts w:hint="eastAsia"/>
          <w:lang w:val="en-US" w:eastAsia="zh-CN"/>
        </w:rPr>
        <w:t>c</w:t>
      </w:r>
      <w:r>
        <w:rPr>
          <w:rFonts w:hint="eastAsia"/>
        </w:rPr>
        <w:t>）</w:t>
      </w:r>
      <w:r>
        <w:rPr>
          <w:rFonts w:hint="eastAsia" w:ascii="Times New Roman" w:hAnsi="Times New Roman"/>
          <w:lang w:bidi="ar"/>
        </w:rPr>
        <w:t>沥青路</w:t>
      </w:r>
      <w:r>
        <w:rPr>
          <w:rFonts w:hint="eastAsia"/>
        </w:rPr>
        <w:t>面厚度均匀性检测前不需进行金属板标定，采集完成后钻芯进行介电常数标定。当同时进行压实均匀性检测时，可与压实度标定共用芯样。</w:t>
      </w:r>
      <w:r>
        <w:rPr>
          <w:rFonts w:hint="eastAsia"/>
          <w:lang w:eastAsia="zh-CN"/>
        </w:rPr>
        <w:t>沥青路面厚度均匀性检测其他</w:t>
      </w:r>
      <w:r>
        <w:rPr>
          <w:rFonts w:hint="eastAsia"/>
          <w:lang w:val="en-US" w:eastAsia="zh-CN"/>
        </w:rPr>
        <w:t>步骤及</w:t>
      </w:r>
      <w:r>
        <w:rPr>
          <w:rFonts w:hint="eastAsia"/>
          <w:lang w:eastAsia="zh-CN"/>
        </w:rPr>
        <w:t>要求应符合</w:t>
      </w:r>
      <w:r>
        <w:rPr>
          <w:rFonts w:hint="eastAsia"/>
          <w:lang w:val="en-US" w:eastAsia="zh-CN"/>
        </w:rPr>
        <w:t>5.3.3(b)规定</w:t>
      </w:r>
      <w:r>
        <w:rPr>
          <w:rFonts w:hint="eastAsia"/>
          <w:lang w:eastAsia="zh-CN"/>
        </w:rPr>
        <w:t>。</w:t>
      </w:r>
    </w:p>
    <w:p w14:paraId="176787BE">
      <w:pPr>
        <w:pStyle w:val="166"/>
        <w:rPr>
          <w:rFonts w:hint="eastAsia"/>
        </w:rPr>
      </w:pPr>
      <w:r>
        <w:rPr>
          <w:rFonts w:hint="eastAsia"/>
          <w:lang w:eastAsia="zh-CN"/>
        </w:rPr>
        <w:t>数据采集</w:t>
      </w:r>
    </w:p>
    <w:p w14:paraId="09F07B12">
      <w:pPr>
        <w:pStyle w:val="166"/>
        <w:numPr>
          <w:ilvl w:val="3"/>
          <w:numId w:val="0"/>
        </w:numPr>
        <w:ind w:leftChars="0" w:firstLine="420" w:firstLineChars="200"/>
        <w:rPr>
          <w:rFonts w:hint="eastAsia"/>
        </w:rPr>
      </w:pPr>
      <w:r>
        <w:rPr>
          <w:rFonts w:hint="eastAsia"/>
        </w:rPr>
        <w:t>所采集数据应符合下列要求：</w:t>
      </w:r>
    </w:p>
    <w:p w14:paraId="321517B9">
      <w:pPr>
        <w:pStyle w:val="57"/>
      </w:pPr>
      <w:r>
        <w:rPr>
          <w:rFonts w:hint="eastAsia"/>
        </w:rPr>
        <w:t>a）测试数据所包含的信息应能覆盖整个检测区域</w:t>
      </w:r>
      <w:r>
        <w:rPr>
          <w:rFonts w:hint="eastAsia"/>
          <w:lang w:eastAsia="zh-CN"/>
        </w:rPr>
        <w:t>，</w:t>
      </w:r>
      <w:r>
        <w:t>采集数据每个通道剖面上不应出现连续坏道，不应出现某通道无图像</w:t>
      </w:r>
      <w:r>
        <w:rPr>
          <w:rFonts w:hint="eastAsia"/>
          <w:lang w:eastAsia="zh-CN"/>
        </w:rPr>
        <w:t>，</w:t>
      </w:r>
      <w:r>
        <w:t>数据采集时出现信号中断情况，应重新采集或补测；</w:t>
      </w:r>
    </w:p>
    <w:p w14:paraId="5D4BFDE0">
      <w:pPr>
        <w:pStyle w:val="57"/>
      </w:pPr>
      <w:r>
        <w:rPr>
          <w:rFonts w:hint="eastAsia"/>
        </w:rPr>
        <w:t>b）</w:t>
      </w:r>
      <w:r>
        <w:t>采集数据的信噪比应满足数据处理、解释需要</w:t>
      </w:r>
      <w:r>
        <w:rPr>
          <w:rFonts w:hint="eastAsia"/>
          <w:lang w:eastAsia="zh-CN"/>
        </w:rPr>
        <w:t>，不宜低于120dB</w:t>
      </w:r>
      <w:r>
        <w:t>；</w:t>
      </w:r>
    </w:p>
    <w:p w14:paraId="62308072">
      <w:pPr>
        <w:pStyle w:val="57"/>
      </w:pPr>
      <w:r>
        <w:rPr>
          <w:rFonts w:hint="eastAsia"/>
        </w:rPr>
        <w:t>c）</w:t>
      </w:r>
      <w:r>
        <w:t>雷达承载车的行驶速度应严格控制在最大采集速度的 80 %以内</w:t>
      </w:r>
      <w:r>
        <w:rPr>
          <w:rFonts w:hint="eastAsia"/>
        </w:rPr>
        <w:t>。</w:t>
      </w:r>
    </w:p>
    <w:p w14:paraId="25C6D4FB">
      <w:pPr>
        <w:pStyle w:val="106"/>
        <w:spacing w:before="156" w:after="156"/>
      </w:pPr>
      <w:bookmarkStart w:id="65" w:name="_Toc19147"/>
      <w:r>
        <w:rPr>
          <w:rFonts w:hint="eastAsia"/>
        </w:rPr>
        <w:t>数据处理</w:t>
      </w:r>
      <w:bookmarkEnd w:id="65"/>
    </w:p>
    <w:p w14:paraId="55B34424">
      <w:pPr>
        <w:pStyle w:val="166"/>
        <w:rPr>
          <w:rFonts w:hint="eastAsia"/>
        </w:rPr>
      </w:pPr>
      <w:r>
        <w:rPr>
          <w:rFonts w:hint="eastAsia"/>
        </w:rPr>
        <w:t>压实均匀性</w:t>
      </w:r>
      <w:r>
        <w:rPr>
          <w:rFonts w:hint="eastAsia"/>
          <w:lang w:eastAsia="zh-CN"/>
        </w:rPr>
        <w:t>检测数据</w:t>
      </w:r>
      <w:r>
        <w:rPr>
          <w:rFonts w:hint="eastAsia"/>
        </w:rPr>
        <w:t>不</w:t>
      </w:r>
      <w:r>
        <w:rPr>
          <w:rFonts w:hint="eastAsia"/>
          <w:lang w:val="en-US" w:eastAsia="zh-CN"/>
        </w:rPr>
        <w:t>应</w:t>
      </w:r>
      <w:r>
        <w:rPr>
          <w:rFonts w:hint="eastAsia"/>
          <w:lang w:eastAsia="zh-CN"/>
        </w:rPr>
        <w:t>进行</w:t>
      </w:r>
      <w:r>
        <w:rPr>
          <w:rFonts w:hint="eastAsia"/>
        </w:rPr>
        <w:t>增益处理</w:t>
      </w:r>
      <w:r>
        <w:rPr>
          <w:rFonts w:hint="eastAsia"/>
          <w:lang w:eastAsia="zh-CN"/>
        </w:rPr>
        <w:t>，</w:t>
      </w:r>
      <w:r>
        <w:rPr>
          <w:rFonts w:hint="eastAsia"/>
        </w:rPr>
        <w:t>厚度均匀性检测</w:t>
      </w:r>
      <w:r>
        <w:rPr>
          <w:rFonts w:hint="eastAsia"/>
          <w:lang w:eastAsia="zh-CN"/>
        </w:rPr>
        <w:t>数据</w:t>
      </w:r>
      <w:r>
        <w:rPr>
          <w:rFonts w:hint="eastAsia"/>
        </w:rPr>
        <w:t>应进行增益处理</w:t>
      </w:r>
      <w:r>
        <w:rPr>
          <w:rFonts w:hint="eastAsia"/>
          <w:lang w:eastAsia="zh-CN"/>
        </w:rPr>
        <w:t>。</w:t>
      </w:r>
    </w:p>
    <w:p w14:paraId="469B99AC">
      <w:pPr>
        <w:pStyle w:val="166"/>
        <w:rPr>
          <w:rFonts w:hint="eastAsia"/>
        </w:rPr>
      </w:pPr>
      <w:r>
        <w:rPr>
          <w:rFonts w:hint="eastAsia"/>
        </w:rPr>
        <w:t>压实均匀性检测时，利用专用处理软件分别读取各通道、各位置路面表面反射振幅</w:t>
      </w: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0</m:t>
            </m:r>
            <m:ctrlPr>
              <w:rPr>
                <w:rFonts w:ascii="Cambria Math" w:hAnsi="Cambria Math"/>
                <w:i/>
                <w:iCs/>
              </w:rPr>
            </m:ctrlPr>
          </m:sub>
        </m:sSub>
      </m:oMath>
      <w:r>
        <w:rPr>
          <w:rFonts w:hint="eastAsia"/>
        </w:rPr>
        <w:t>，以及金属板标定过程中雷达数据的金属板表面反射振幅</w:t>
      </w: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p</m:t>
            </m:r>
            <m:ctrlPr>
              <w:rPr>
                <w:rFonts w:ascii="Cambria Math" w:hAnsi="Cambria Math"/>
                <w:i/>
                <w:iCs/>
              </w:rPr>
            </m:ctrlPr>
          </m:sub>
        </m:sSub>
      </m:oMath>
      <w:r>
        <w:rPr>
          <w:rFonts w:hint="eastAsia"/>
          <w:iCs/>
        </w:rPr>
        <w:t>，并</w:t>
      </w:r>
      <w:r>
        <w:rPr>
          <w:rFonts w:hint="eastAsia"/>
        </w:rPr>
        <w:t>以文本或表格形式输出</w:t>
      </w:r>
      <w:r>
        <w:rPr>
          <w:rFonts w:hint="eastAsia"/>
          <w:lang w:eastAsia="zh-CN"/>
        </w:rPr>
        <w:t>。</w:t>
      </w:r>
    </w:p>
    <w:p w14:paraId="3EC501DA">
      <w:pPr>
        <w:pStyle w:val="57"/>
        <w:rPr>
          <w:rFonts w:hint="eastAsia" w:eastAsia="宋体"/>
          <w:lang w:eastAsia="zh-CN"/>
        </w:rPr>
      </w:pPr>
      <w:bookmarkStart w:id="66" w:name="_Hlk188274756"/>
      <w:r>
        <w:rPr>
          <w:rFonts w:hint="eastAsia"/>
        </w:rPr>
        <w:t>通过公式（</w:t>
      </w:r>
      <w:r>
        <w:rPr>
          <w:rFonts w:hint="eastAsia"/>
          <w:lang w:val="en-US" w:eastAsia="zh-CN"/>
        </w:rPr>
        <w:t>7</w:t>
      </w:r>
      <w:r>
        <w:rPr>
          <w:rFonts w:hint="eastAsia"/>
        </w:rPr>
        <w:t>）计算检测范围内路表介电常数分布，并以文本或表格形式输出，亦可表达为介电常数分布云图</w:t>
      </w:r>
      <w:r>
        <w:rPr>
          <w:rFonts w:hint="eastAsia"/>
          <w:lang w:eastAsia="zh-CN"/>
        </w:rPr>
        <w:t>。</w:t>
      </w:r>
    </w:p>
    <w:p w14:paraId="026AFA01">
      <w:pPr>
        <w:pStyle w:val="57"/>
        <w:jc w:val="right"/>
      </w:pPr>
      <w:r>
        <w:rPr>
          <w:rFonts w:hint="eastAsia"/>
          <w:position w:val="-40"/>
        </w:rPr>
        <w:object>
          <v:shape id="_x0000_i1031" o:spt="75" type="#_x0000_t75" style="height:46.2pt;width:79pt;" o:ole="t" filled="f" o:preferrelative="t" stroked="f" coordsize="21600,21600">
            <v:path/>
            <v:fill on="f" focussize="0,0"/>
            <v:stroke on="f" joinstyle="miter"/>
            <v:imagedata r:id="rId31" o:title=""/>
            <o:lock v:ext="edit" aspectratio="t"/>
            <w10:wrap type="none"/>
            <w10:anchorlock/>
          </v:shape>
          <o:OLEObject Type="Embed" ProgID="Equation.AxMath" ShapeID="_x0000_i1031" DrawAspect="Content" ObjectID="_1468075731" r:id="rId30">
            <o:LockedField>false</o:LockedField>
          </o:OLEObject>
        </w:object>
      </w:r>
      <w:r>
        <w:t>………………………………………（</w:t>
      </w:r>
      <w:r>
        <w:rPr>
          <w:rFonts w:hint="eastAsia" w:ascii="Cambria Math" w:hAnsi="Cambria Math"/>
          <w:lang w:val="en-US" w:eastAsia="zh-CN"/>
        </w:rPr>
        <w:t>7</w:t>
      </w:r>
      <w:r>
        <w:rPr>
          <w:rFonts w:ascii="Cambria Math" w:hAnsi="Cambria Math"/>
        </w:rPr>
        <w:t>）</w:t>
      </w:r>
    </w:p>
    <w:bookmarkEnd w:id="66"/>
    <w:p w14:paraId="4196E547">
      <w:pPr>
        <w:pStyle w:val="57"/>
        <w:rPr>
          <w:rFonts w:hint="eastAsia"/>
        </w:rPr>
      </w:pPr>
      <w:r>
        <w:rPr>
          <w:rFonts w:hint="eastAsia"/>
        </w:rPr>
        <w:t>式中：</w:t>
      </w:r>
    </w:p>
    <w:p w14:paraId="49227745">
      <w:pPr>
        <w:pStyle w:val="57"/>
      </w:pP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0</m:t>
            </m:r>
            <m:ctrlPr>
              <w:rPr>
                <w:rFonts w:ascii="Cambria Math" w:hAnsi="Cambria Math"/>
                <w:i/>
                <w:iCs/>
              </w:rPr>
            </m:ctrlPr>
          </m:sub>
        </m:sSub>
      </m:oMath>
      <w:bookmarkStart w:id="67" w:name="_Hlk129160031"/>
      <w:r>
        <w:t>——</w:t>
      </w:r>
      <w:r>
        <w:rPr>
          <w:rFonts w:hint="eastAsia"/>
        </w:rPr>
        <w:t>雷达数据</w:t>
      </w:r>
      <w:bookmarkEnd w:id="67"/>
      <w:r>
        <w:rPr>
          <w:rFonts w:hint="eastAsia"/>
        </w:rPr>
        <w:t>的路面表面反射振幅</w:t>
      </w:r>
      <w:r>
        <w:rPr>
          <w:rFonts w:hint="eastAsia"/>
          <w:lang w:eastAsia="zh-CN"/>
        </w:rPr>
        <w:t>，</w:t>
      </w:r>
      <w:r>
        <w:rPr>
          <w:rFonts w:hint="eastAsia"/>
          <w:lang w:val="en-US" w:eastAsia="zh-CN"/>
        </w:rPr>
        <w:t>单位为米（m）</w:t>
      </w:r>
      <w:r>
        <w:rPr>
          <w:rFonts w:hint="eastAsia"/>
        </w:rPr>
        <w:t>；</w:t>
      </w:r>
    </w:p>
    <w:p w14:paraId="7B17B14E">
      <w:pPr>
        <w:pStyle w:val="57"/>
      </w:pP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ascii="Cambria Math" w:hAnsi="Cambria Math"/>
              </w:rPr>
              <m:t>p</m:t>
            </m:r>
            <m:ctrlPr>
              <w:rPr>
                <w:rFonts w:ascii="Cambria Math" w:hAnsi="Cambria Math"/>
                <w:i/>
                <w:iCs/>
              </w:rPr>
            </m:ctrlPr>
          </m:sub>
        </m:sSub>
      </m:oMath>
      <w:r>
        <w:t>——</w:t>
      </w:r>
      <w:r>
        <w:rPr>
          <w:rFonts w:hint="eastAsia"/>
        </w:rPr>
        <w:t>金属板标定过程中雷达数据的金属板表面反射振幅</w:t>
      </w:r>
      <w:r>
        <w:rPr>
          <w:rFonts w:hint="eastAsia"/>
          <w:lang w:eastAsia="zh-CN"/>
        </w:rPr>
        <w:t>，</w:t>
      </w:r>
      <w:r>
        <w:rPr>
          <w:rFonts w:hint="eastAsia"/>
          <w:lang w:val="en-US" w:eastAsia="zh-CN"/>
        </w:rPr>
        <w:t>单位为米（m）</w:t>
      </w:r>
      <w:r>
        <w:rPr>
          <w:rFonts w:hint="eastAsia"/>
        </w:rPr>
        <w:t>。</w:t>
      </w:r>
    </w:p>
    <w:p w14:paraId="32262AD7">
      <w:pPr>
        <w:pStyle w:val="166"/>
        <w:rPr>
          <w:rFonts w:hint="eastAsia"/>
        </w:rPr>
      </w:pPr>
      <w:r>
        <w:rPr>
          <w:rFonts w:hint="eastAsia"/>
          <w:lang w:val="en-US" w:eastAsia="zh-CN"/>
        </w:rPr>
        <w:t>压实均匀性检测时，</w:t>
      </w:r>
      <w:r>
        <w:rPr>
          <w:rFonts w:hint="eastAsia"/>
        </w:rPr>
        <w:t>读取压实度标定中所选定点位对应的介电常数值，建立路面压实度与介电常数的关系公式</w:t>
      </w:r>
      <w:r>
        <w:rPr>
          <w:rFonts w:hint="eastAsia"/>
          <w:lang w:eastAsia="zh-CN"/>
        </w:rPr>
        <w:t>，计算</w:t>
      </w:r>
      <w:r>
        <w:rPr>
          <w:rFonts w:hint="eastAsia"/>
        </w:rPr>
        <w:t>检测范围内</w:t>
      </w:r>
      <w:r>
        <w:rPr>
          <w:rFonts w:hint="eastAsia"/>
          <w:lang w:eastAsia="zh-CN"/>
        </w:rPr>
        <w:t>的</w:t>
      </w:r>
      <w:r>
        <w:rPr>
          <w:rFonts w:hint="eastAsia"/>
        </w:rPr>
        <w:t>路表压实度</w:t>
      </w:r>
      <w:r>
        <w:rPr>
          <w:rFonts w:hint="eastAsia"/>
          <w:lang w:eastAsia="zh-CN"/>
        </w:rPr>
        <w:t>。</w:t>
      </w:r>
      <w:r>
        <w:rPr>
          <w:rFonts w:hint="eastAsia"/>
        </w:rPr>
        <w:t>厚度</w:t>
      </w:r>
      <w:r>
        <w:rPr>
          <w:rFonts w:hint="eastAsia" w:ascii="Times New Roman" w:hAnsi="Times New Roman"/>
          <w:lang w:bidi="ar"/>
        </w:rPr>
        <w:t>均匀</w:t>
      </w:r>
      <w:r>
        <w:rPr>
          <w:rFonts w:hint="eastAsia"/>
        </w:rPr>
        <w:t>性检测时，</w:t>
      </w:r>
      <w:r>
        <w:rPr>
          <w:rFonts w:hint="eastAsia"/>
          <w:lang w:val="en-US" w:eastAsia="zh-CN"/>
        </w:rPr>
        <w:t>沥青路面厚度计算应符合JTG 3450 中的T0913相关规定</w:t>
      </w:r>
      <w:bookmarkStart w:id="68" w:name="_Hlk188275859"/>
      <w:r>
        <w:rPr>
          <w:rFonts w:hint="eastAsia"/>
          <w:lang w:val="en-US" w:eastAsia="zh-CN"/>
        </w:rPr>
        <w:t>。</w:t>
      </w:r>
    </w:p>
    <w:p w14:paraId="17E4562F">
      <w:pPr>
        <w:pStyle w:val="166"/>
      </w:pPr>
      <w:r>
        <w:rPr>
          <w:rFonts w:hint="eastAsia"/>
        </w:rPr>
        <w:t>标定结束后应及时汇总填写测距误差、相对介电常数、电磁波速度、实测厚度、厚度误差等参数，表格形式及内容</w:t>
      </w:r>
      <w:r>
        <w:rPr>
          <w:rFonts w:hint="eastAsia"/>
          <w:lang w:val="en-US" w:eastAsia="zh-CN"/>
        </w:rPr>
        <w:t>可参照</w:t>
      </w:r>
      <w:r>
        <w:rPr>
          <w:rFonts w:hint="eastAsia"/>
        </w:rPr>
        <w:t>附录</w:t>
      </w:r>
      <w:r>
        <w:rPr>
          <w:rFonts w:hint="eastAsia"/>
          <w:lang w:val="en-US" w:eastAsia="zh-CN"/>
        </w:rPr>
        <w:t>B</w:t>
      </w:r>
      <w:r>
        <w:rPr>
          <w:rFonts w:hint="eastAsia"/>
        </w:rPr>
        <w:t>。</w:t>
      </w:r>
    </w:p>
    <w:bookmarkEnd w:id="68"/>
    <w:p w14:paraId="247AAB27">
      <w:pPr>
        <w:pStyle w:val="166"/>
        <w:rPr>
          <w:rFonts w:hint="eastAsia"/>
        </w:rPr>
      </w:pPr>
      <w:r>
        <w:rPr>
          <w:rFonts w:hint="eastAsia"/>
        </w:rPr>
        <w:t>计算</w:t>
      </w:r>
      <w:r>
        <w:rPr>
          <w:rFonts w:hint="eastAsia" w:ascii="Times New Roman" w:hAnsi="Times New Roman"/>
          <w:lang w:bidi="ar"/>
        </w:rPr>
        <w:t>测试</w:t>
      </w:r>
      <w:r>
        <w:rPr>
          <w:rFonts w:hint="eastAsia"/>
        </w:rPr>
        <w:t>结果平均值及标准差，并按照3倍标准差方法进行异常值处理，舍弃平均值左右3倍标准差范围以外的实测值，然后再重新计算整理；</w:t>
      </w:r>
    </w:p>
    <w:p w14:paraId="1E8A4083">
      <w:pPr>
        <w:pStyle w:val="166"/>
        <w:rPr>
          <w:rFonts w:hint="eastAsia"/>
        </w:rPr>
      </w:pPr>
      <w:r>
        <w:rPr>
          <w:rFonts w:hint="eastAsia"/>
        </w:rPr>
        <w:t>压实均匀性检测时，绘制压实度云图，计算极差，变异系数，</w:t>
      </w:r>
      <w:r>
        <w:rPr>
          <w:rFonts w:hint="eastAsia"/>
          <w:lang w:val="en-US" w:eastAsia="zh-CN"/>
        </w:rPr>
        <w:t>按</w:t>
      </w:r>
      <w:r>
        <w:rPr>
          <w:rFonts w:hint="eastAsia"/>
        </w:rPr>
        <w:t>公式（</w:t>
      </w:r>
      <w:r>
        <w:rPr>
          <w:rFonts w:hint="eastAsia"/>
          <w:lang w:val="en-US" w:eastAsia="zh-CN"/>
        </w:rPr>
        <w:t>8</w:t>
      </w:r>
      <w:r>
        <w:rPr>
          <w:rFonts w:hint="eastAsia"/>
        </w:rPr>
        <w:t>）</w:t>
      </w:r>
      <w:r>
        <w:rPr>
          <w:rFonts w:hint="eastAsia"/>
          <w:lang w:val="en-US" w:eastAsia="zh-CN"/>
        </w:rPr>
        <w:t>及</w:t>
      </w:r>
      <w:r>
        <w:rPr>
          <w:rFonts w:hint="eastAsia"/>
        </w:rPr>
        <w:t>公式（</w:t>
      </w:r>
      <w:r>
        <w:rPr>
          <w:rFonts w:hint="eastAsia"/>
          <w:lang w:val="en-US" w:eastAsia="zh-CN"/>
        </w:rPr>
        <w:t>9</w:t>
      </w:r>
      <w:r>
        <w:rPr>
          <w:rFonts w:hint="eastAsia"/>
        </w:rPr>
        <w:t>）</w:t>
      </w:r>
      <w:r>
        <w:rPr>
          <w:rFonts w:hint="eastAsia"/>
          <w:lang w:val="en-US" w:eastAsia="zh-CN"/>
        </w:rPr>
        <w:t>计算</w:t>
      </w:r>
      <w:r>
        <w:rPr>
          <w:rFonts w:hint="eastAsia"/>
        </w:rPr>
        <w:t>超压区域及欠压区域面积系数，</w:t>
      </w:r>
      <w:r>
        <w:rPr>
          <w:rFonts w:hint="eastAsia"/>
          <w:lang w:val="en-US" w:eastAsia="zh-CN"/>
        </w:rPr>
        <w:t>按</w:t>
      </w:r>
      <w:r>
        <w:rPr>
          <w:rFonts w:hint="eastAsia"/>
        </w:rPr>
        <w:t>公式（1</w:t>
      </w:r>
      <w:r>
        <w:rPr>
          <w:rFonts w:hint="eastAsia"/>
          <w:lang w:val="en-US" w:eastAsia="zh-CN"/>
        </w:rPr>
        <w:t>0</w:t>
      </w:r>
      <w:r>
        <w:rPr>
          <w:rFonts w:hint="eastAsia"/>
        </w:rPr>
        <w:t>）</w:t>
      </w:r>
      <w:r>
        <w:rPr>
          <w:rFonts w:hint="eastAsia"/>
          <w:lang w:val="en-US" w:eastAsia="zh-CN"/>
        </w:rPr>
        <w:t>及</w:t>
      </w:r>
      <w:r>
        <w:rPr>
          <w:rFonts w:hint="eastAsia"/>
        </w:rPr>
        <w:t>公式（1</w:t>
      </w:r>
      <w:r>
        <w:rPr>
          <w:rFonts w:hint="eastAsia"/>
          <w:lang w:val="en-US" w:eastAsia="zh-CN"/>
        </w:rPr>
        <w:t>1</w:t>
      </w:r>
      <w:r>
        <w:rPr>
          <w:rFonts w:hint="eastAsia"/>
        </w:rPr>
        <w:t>）</w:t>
      </w:r>
      <w:r>
        <w:rPr>
          <w:rFonts w:hint="eastAsia"/>
          <w:lang w:val="en-US" w:eastAsia="zh-CN"/>
        </w:rPr>
        <w:t>计算</w:t>
      </w:r>
      <w:r>
        <w:rPr>
          <w:rFonts w:hint="eastAsia"/>
        </w:rPr>
        <w:t>超压区域及欠压区域分布系数</w:t>
      </w:r>
      <w:r>
        <w:rPr>
          <w:rFonts w:hint="eastAsia"/>
          <w:lang w:eastAsia="zh-CN"/>
        </w:rPr>
        <w:t>。</w:t>
      </w:r>
    </w:p>
    <w:p w14:paraId="16F6072C">
      <w:pPr>
        <w:pStyle w:val="57"/>
        <w:jc w:val="right"/>
        <w:rPr>
          <w:position w:val="-40"/>
        </w:rPr>
      </w:pPr>
      <w:bookmarkStart w:id="69" w:name="_Hlk188275871"/>
      <w:r>
        <w:rPr>
          <w:position w:val="-23"/>
        </w:rPr>
        <w:object>
          <v:shape id="_x0000_i1032" o:spt="75" type="#_x0000_t75" style="height:35.45pt;width:101pt;" o:ole="t" filled="f" o:preferrelative="t" stroked="f" coordsize="21600,21600">
            <v:path/>
            <v:fill on="f" focussize="0,0"/>
            <v:stroke on="f" joinstyle="miter"/>
            <v:imagedata r:id="rId33" o:title=""/>
            <o:lock v:ext="edit" aspectratio="t"/>
            <w10:wrap type="none"/>
            <w10:anchorlock/>
          </v:shape>
          <o:OLEObject Type="Embed" ProgID="Equation.AxMath" ShapeID="_x0000_i1032" DrawAspect="Content" ObjectID="_1468075732" r:id="rId32">
            <o:LockedField>false</o:LockedField>
          </o:OLEObject>
        </w:object>
      </w:r>
      <w:r>
        <w:t>…………………………………</w:t>
      </w:r>
      <w:r>
        <w:rPr>
          <w:rFonts w:ascii="Cambria Math" w:hAnsi="Cambria Math"/>
        </w:rPr>
        <w:t>（</w:t>
      </w:r>
      <w:r>
        <w:rPr>
          <w:rFonts w:hint="eastAsia" w:ascii="Cambria Math" w:hAnsi="Cambria Math"/>
          <w:lang w:val="en-US" w:eastAsia="zh-CN"/>
        </w:rPr>
        <w:t>8</w:t>
      </w:r>
      <w:r>
        <w:rPr>
          <w:rFonts w:ascii="Cambria Math" w:hAnsi="Cambria Math"/>
        </w:rPr>
        <w:t>）</w:t>
      </w:r>
    </w:p>
    <w:bookmarkEnd w:id="69"/>
    <w:p w14:paraId="21324DA8">
      <w:pPr>
        <w:pStyle w:val="57"/>
        <w:rPr>
          <w:rFonts w:ascii="Cambria Math" w:hAnsi="Cambria Math"/>
          <w:i/>
          <w:iCs/>
        </w:rPr>
      </w:pPr>
      <w:r>
        <w:rPr>
          <w:rFonts w:hint="eastAsia"/>
        </w:rPr>
        <w:t>式中：</w:t>
      </w:r>
      <w:r>
        <w:rPr>
          <w:rFonts w:ascii="Cambria Math" w:hAnsi="Cambria Math"/>
          <w:i/>
          <w:iCs/>
        </w:rPr>
        <w:t xml:space="preserve"> </w:t>
      </w:r>
    </w:p>
    <w:p w14:paraId="19250C22">
      <w:pPr>
        <w:pStyle w:val="57"/>
        <w:rPr>
          <w:color w:val="auto"/>
        </w:rPr>
      </w:pPr>
      <m:oMath>
        <m:sSub>
          <m:sSubPr>
            <m:ctrlPr>
              <w:rPr>
                <w:rFonts w:ascii="Cambria Math" w:hAnsi="Cambria Math"/>
                <w:i/>
                <w:iCs/>
                <w:color w:val="auto"/>
              </w:rPr>
            </m:ctrlPr>
          </m:sSubPr>
          <m:e>
            <m:r>
              <m:rPr/>
              <w:rPr>
                <w:rFonts w:ascii="Cambria Math" w:hAnsi="Cambria Math"/>
                <w:color w:val="auto"/>
              </w:rPr>
              <m:t>A</m:t>
            </m:r>
            <m:ctrlPr>
              <w:rPr>
                <w:rFonts w:ascii="Cambria Math" w:hAnsi="Cambria Math"/>
                <w:i/>
                <w:iCs/>
                <w:color w:val="auto"/>
              </w:rPr>
            </m:ctrlPr>
          </m:e>
          <m:sub>
            <m:r>
              <m:rPr/>
              <w:rPr>
                <w:rFonts w:hint="eastAsia" w:ascii="Cambria Math" w:hAnsi="Cambria Math"/>
                <w:color w:val="auto"/>
              </w:rPr>
              <m:t>H</m:t>
            </m:r>
            <m:ctrlPr>
              <w:rPr>
                <w:rFonts w:ascii="Cambria Math" w:hAnsi="Cambria Math"/>
                <w:i/>
                <w:iCs/>
                <w:color w:val="auto"/>
              </w:rPr>
            </m:ctrlPr>
          </m:sub>
        </m:sSub>
      </m:oMath>
      <w:r>
        <w:rPr>
          <w:color w:val="auto"/>
        </w:rPr>
        <w:t>——</w:t>
      </w:r>
      <w:r>
        <w:rPr>
          <w:rFonts w:hint="eastAsia"/>
          <w:color w:val="auto"/>
        </w:rPr>
        <w:t>检测区域超压区域面积</w:t>
      </w:r>
      <w:r>
        <w:rPr>
          <w:rFonts w:hint="eastAsia"/>
          <w:color w:val="auto"/>
          <w:lang w:eastAsia="zh-CN"/>
        </w:rPr>
        <w:t>，</w:t>
      </w:r>
      <w:r>
        <w:rPr>
          <w:rFonts w:hint="eastAsia"/>
          <w:color w:val="auto"/>
          <w:lang w:val="en-US" w:eastAsia="zh-CN"/>
        </w:rPr>
        <w:t>单位为平方米（m</w:t>
      </w:r>
      <w:r>
        <w:rPr>
          <w:rFonts w:hint="eastAsia"/>
          <w:color w:val="auto"/>
          <w:vertAlign w:val="superscript"/>
          <w:lang w:val="en-US" w:eastAsia="zh-CN"/>
        </w:rPr>
        <w:t>2</w:t>
      </w:r>
      <w:r>
        <w:rPr>
          <w:rFonts w:hint="eastAsia"/>
          <w:color w:val="auto"/>
          <w:vertAlign w:val="baseline"/>
          <w:lang w:val="en-US" w:eastAsia="zh-CN"/>
        </w:rPr>
        <w:t>）</w:t>
      </w:r>
      <w:r>
        <w:rPr>
          <w:rFonts w:hint="eastAsia"/>
          <w:color w:val="auto"/>
        </w:rPr>
        <w:t>；超压指压实度大于采用最大理论密度的97%（</w:t>
      </w:r>
      <w:r>
        <w:rPr>
          <w:rFonts w:hint="eastAsia"/>
          <w:color w:val="auto"/>
          <w:lang w:val="en-US" w:eastAsia="zh-CN"/>
        </w:rPr>
        <w:t>SMA路面：</w:t>
      </w:r>
      <w:r>
        <w:rPr>
          <w:rFonts w:hint="eastAsia"/>
          <w:color w:val="auto"/>
        </w:rPr>
        <w:t>98</w:t>
      </w:r>
      <w:r>
        <w:rPr>
          <w:color w:val="auto"/>
        </w:rPr>
        <w:t>%</w:t>
      </w:r>
      <w:r>
        <w:rPr>
          <w:rFonts w:hint="eastAsia"/>
          <w:color w:val="auto"/>
        </w:rPr>
        <w:t>）。</w:t>
      </w:r>
    </w:p>
    <w:p w14:paraId="0E3E3935">
      <w:pPr>
        <w:pStyle w:val="57"/>
        <w:jc w:val="right"/>
        <w:rPr>
          <w:color w:val="auto"/>
          <w:position w:val="-40"/>
        </w:rPr>
      </w:pPr>
      <w:r>
        <w:rPr>
          <w:color w:val="auto"/>
          <w:position w:val="-23"/>
        </w:rPr>
        <w:object>
          <v:shape id="_x0000_i1033" o:spt="75" type="#_x0000_t75" style="height:35.45pt;width:98.85pt;" o:ole="t" filled="f" o:preferrelative="t" stroked="f" coordsize="21600,21600">
            <v:path/>
            <v:fill on="f" focussize="0,0"/>
            <v:stroke on="f" joinstyle="miter"/>
            <v:imagedata r:id="rId35" o:title=""/>
            <o:lock v:ext="edit" aspectratio="t"/>
            <w10:wrap type="none"/>
            <w10:anchorlock/>
          </v:shape>
          <o:OLEObject Type="Embed" ProgID="Equation.AxMath" ShapeID="_x0000_i1033" DrawAspect="Content" ObjectID="_1468075733" r:id="rId34">
            <o:LockedField>false</o:LockedField>
          </o:OLEObject>
        </w:object>
      </w:r>
      <w:r>
        <w:rPr>
          <w:color w:val="auto"/>
        </w:rPr>
        <w:t>………………………………………（</w:t>
      </w:r>
      <w:r>
        <w:rPr>
          <w:rFonts w:hint="eastAsia" w:ascii="Cambria Math" w:hAnsi="Cambria Math"/>
          <w:color w:val="auto"/>
          <w:lang w:val="en-US" w:eastAsia="zh-CN"/>
        </w:rPr>
        <w:t>9</w:t>
      </w:r>
      <w:r>
        <w:rPr>
          <w:rFonts w:ascii="Cambria Math" w:hAnsi="Cambria Math"/>
          <w:color w:val="auto"/>
        </w:rPr>
        <w:t>）</w:t>
      </w:r>
    </w:p>
    <w:p w14:paraId="1CB1D625">
      <w:pPr>
        <w:pStyle w:val="57"/>
        <w:rPr>
          <w:rFonts w:ascii="Cambria Math" w:hAnsi="Cambria Math"/>
          <w:i/>
          <w:iCs/>
          <w:color w:val="auto"/>
        </w:rPr>
      </w:pPr>
      <w:r>
        <w:rPr>
          <w:rFonts w:hint="eastAsia"/>
          <w:color w:val="auto"/>
        </w:rPr>
        <w:t>式中：</w:t>
      </w:r>
      <w:r>
        <w:rPr>
          <w:rFonts w:ascii="Cambria Math" w:hAnsi="Cambria Math"/>
          <w:i/>
          <w:iCs/>
          <w:color w:val="auto"/>
        </w:rPr>
        <w:t xml:space="preserve"> </w:t>
      </w:r>
    </w:p>
    <w:p w14:paraId="6E5A38B8">
      <w:pPr>
        <w:pStyle w:val="57"/>
        <w:rPr>
          <w:color w:val="auto"/>
        </w:rPr>
      </w:pPr>
      <m:oMath>
        <m:sSub>
          <m:sSubPr>
            <m:ctrlPr>
              <w:rPr>
                <w:rFonts w:ascii="Cambria Math" w:hAnsi="Cambria Math"/>
                <w:i/>
                <w:iCs/>
                <w:color w:val="auto"/>
              </w:rPr>
            </m:ctrlPr>
          </m:sSubPr>
          <m:e>
            <m:r>
              <m:rPr/>
              <w:rPr>
                <w:rFonts w:ascii="Cambria Math" w:hAnsi="Cambria Math"/>
                <w:color w:val="auto"/>
              </w:rPr>
              <m:t>A</m:t>
            </m:r>
            <m:ctrlPr>
              <w:rPr>
                <w:rFonts w:ascii="Cambria Math" w:hAnsi="Cambria Math"/>
                <w:i/>
                <w:iCs/>
                <w:color w:val="auto"/>
              </w:rPr>
            </m:ctrlPr>
          </m:e>
          <m:sub>
            <m:r>
              <m:rPr/>
              <w:rPr>
                <w:rFonts w:ascii="Cambria Math" w:hAnsi="Cambria Math"/>
                <w:color w:val="auto"/>
              </w:rPr>
              <m:t>L</m:t>
            </m:r>
            <m:ctrlPr>
              <w:rPr>
                <w:rFonts w:ascii="Cambria Math" w:hAnsi="Cambria Math"/>
                <w:i/>
                <w:iCs/>
                <w:color w:val="auto"/>
              </w:rPr>
            </m:ctrlPr>
          </m:sub>
        </m:sSub>
      </m:oMath>
      <w:r>
        <w:rPr>
          <w:color w:val="auto"/>
        </w:rPr>
        <w:t>——</w:t>
      </w:r>
      <w:r>
        <w:rPr>
          <w:rFonts w:hint="eastAsia"/>
          <w:color w:val="auto"/>
        </w:rPr>
        <w:t>检测区域欠压区域面积</w:t>
      </w:r>
      <w:r>
        <w:rPr>
          <w:rFonts w:hint="eastAsia"/>
          <w:color w:val="auto"/>
          <w:lang w:eastAsia="zh-CN"/>
        </w:rPr>
        <w:t>，</w:t>
      </w:r>
      <w:r>
        <w:rPr>
          <w:rFonts w:hint="eastAsia"/>
          <w:color w:val="auto"/>
          <w:lang w:val="en-US" w:eastAsia="zh-CN"/>
        </w:rPr>
        <w:t>单位为平方米（m</w:t>
      </w:r>
      <w:r>
        <w:rPr>
          <w:rFonts w:hint="eastAsia"/>
          <w:color w:val="auto"/>
          <w:vertAlign w:val="superscript"/>
          <w:lang w:val="en-US" w:eastAsia="zh-CN"/>
        </w:rPr>
        <w:t>2</w:t>
      </w:r>
      <w:r>
        <w:rPr>
          <w:rFonts w:hint="eastAsia"/>
          <w:color w:val="auto"/>
          <w:vertAlign w:val="baseline"/>
          <w:lang w:val="en-US" w:eastAsia="zh-CN"/>
        </w:rPr>
        <w:t>）</w:t>
      </w:r>
      <w:r>
        <w:rPr>
          <w:rFonts w:hint="eastAsia"/>
          <w:color w:val="auto"/>
        </w:rPr>
        <w:t>；欠压对高速公路、一级公路指压实度小于采用实验室标准密度的</w:t>
      </w:r>
      <w:r>
        <w:rPr>
          <w:color w:val="auto"/>
        </w:rPr>
        <w:t>9</w:t>
      </w:r>
      <w:r>
        <w:rPr>
          <w:rFonts w:hint="eastAsia"/>
          <w:color w:val="auto"/>
        </w:rPr>
        <w:t>7</w:t>
      </w:r>
      <w:r>
        <w:rPr>
          <w:color w:val="auto"/>
        </w:rPr>
        <w:t>%</w:t>
      </w:r>
      <w:r>
        <w:rPr>
          <w:rFonts w:hint="eastAsia"/>
          <w:color w:val="auto"/>
        </w:rPr>
        <w:t>（SMA路面</w:t>
      </w:r>
      <w:r>
        <w:rPr>
          <w:rFonts w:hint="eastAsia"/>
          <w:color w:val="auto"/>
          <w:lang w:val="en-US" w:eastAsia="zh-CN"/>
        </w:rPr>
        <w:t>：</w:t>
      </w:r>
      <w:r>
        <w:rPr>
          <w:rFonts w:hint="eastAsia"/>
          <w:color w:val="auto"/>
        </w:rPr>
        <w:t>98%），采用最大理论密度的93%（SMA路面</w:t>
      </w:r>
      <w:r>
        <w:rPr>
          <w:rFonts w:hint="eastAsia"/>
          <w:color w:val="auto"/>
          <w:lang w:val="en-US" w:eastAsia="zh-CN"/>
        </w:rPr>
        <w:t>：</w:t>
      </w:r>
      <w:r>
        <w:rPr>
          <w:rFonts w:hint="eastAsia"/>
          <w:color w:val="auto"/>
        </w:rPr>
        <w:t>94%）</w:t>
      </w:r>
      <w:r>
        <w:rPr>
          <w:color w:val="auto"/>
        </w:rPr>
        <w:t>，</w:t>
      </w:r>
      <w:r>
        <w:rPr>
          <w:rFonts w:hint="eastAsia"/>
          <w:color w:val="auto"/>
        </w:rPr>
        <w:t>采用试验段密度的99%（SMA路面</w:t>
      </w:r>
      <w:r>
        <w:rPr>
          <w:rFonts w:hint="eastAsia"/>
          <w:color w:val="auto"/>
          <w:lang w:val="en-US" w:eastAsia="zh-CN"/>
        </w:rPr>
        <w:t>：</w:t>
      </w:r>
      <w:r>
        <w:rPr>
          <w:rFonts w:hint="eastAsia"/>
          <w:color w:val="auto"/>
        </w:rPr>
        <w:t>99%）。</w:t>
      </w:r>
    </w:p>
    <w:p w14:paraId="38AB1A88">
      <w:pPr>
        <w:pStyle w:val="57"/>
        <w:jc w:val="right"/>
        <w:rPr>
          <w:rFonts w:ascii="Cambria Math" w:hAnsi="Cambria Math"/>
        </w:rPr>
      </w:pPr>
      <w:r>
        <w:rPr>
          <w:position w:val="-23"/>
        </w:rPr>
        <w:object>
          <v:shape id="_x0000_i1034" o:spt="75" type="#_x0000_t75" style="height:29pt;width:97.8pt;" o:ole="t" filled="f" o:preferrelative="t" stroked="f" coordsize="21600,21600">
            <v:path/>
            <v:fill on="f" focussize="0,0"/>
            <v:stroke on="f" joinstyle="miter"/>
            <v:imagedata r:id="rId37" o:title=""/>
            <o:lock v:ext="edit" aspectratio="t"/>
            <w10:wrap type="none"/>
            <w10:anchorlock/>
          </v:shape>
          <o:OLEObject Type="Embed" ProgID="Equation.AxMath" ShapeID="_x0000_i1034" DrawAspect="Content" ObjectID="_1468075734" r:id="rId36">
            <o:LockedField>false</o:LockedField>
          </o:OLEObject>
        </w:object>
      </w:r>
      <w:r>
        <w:t>………………………………………（</w:t>
      </w:r>
      <w:r>
        <w:rPr>
          <w:rFonts w:hint="eastAsia" w:ascii="Cambria Math" w:hAnsi="Cambria Math"/>
        </w:rPr>
        <w:t>1</w:t>
      </w:r>
      <w:r>
        <w:rPr>
          <w:rFonts w:hint="eastAsia" w:ascii="Cambria Math" w:hAnsi="Cambria Math"/>
          <w:lang w:val="en-US" w:eastAsia="zh-CN"/>
        </w:rPr>
        <w:t>0</w:t>
      </w:r>
      <w:r>
        <w:rPr>
          <w:rFonts w:ascii="Cambria Math" w:hAnsi="Cambria Math"/>
        </w:rPr>
        <w:t>）</w:t>
      </w:r>
    </w:p>
    <w:p w14:paraId="78CD793A">
      <w:pPr>
        <w:pStyle w:val="57"/>
        <w:rPr>
          <w:rFonts w:hint="eastAsia"/>
        </w:rPr>
      </w:pPr>
      <w:r>
        <w:rPr>
          <w:rFonts w:hint="eastAsia"/>
        </w:rPr>
        <w:t>式中：</w:t>
      </w:r>
    </w:p>
    <w:p w14:paraId="785935B3">
      <w:pPr>
        <w:pStyle w:val="57"/>
        <w:rPr>
          <w:rFonts w:hint="eastAsia" w:eastAsia="宋体"/>
          <w:lang w:eastAsia="zh-CN"/>
        </w:rPr>
      </w:pPr>
      <m:oMath>
        <m:sSub>
          <m:sSubPr>
            <m:ctrlPr>
              <w:rPr>
                <w:rFonts w:ascii="Cambria Math" w:hAnsi="Cambria Math"/>
                <w:i/>
                <w:iCs/>
              </w:rPr>
            </m:ctrlPr>
          </m:sSubPr>
          <m:e>
            <m:r>
              <m:rPr/>
              <w:rPr>
                <w:rFonts w:ascii="Cambria Math" w:hAnsi="Cambria Math"/>
              </w:rPr>
              <m:t>ω</m:t>
            </m:r>
            <m:ctrlPr>
              <w:rPr>
                <w:rFonts w:ascii="Cambria Math" w:hAnsi="Cambria Math"/>
                <w:i/>
                <w:iCs/>
              </w:rPr>
            </m:ctrlPr>
          </m:e>
          <m:sub>
            <m:r>
              <m:rPr/>
              <w:rPr>
                <w:rFonts w:ascii="Cambria Math" w:hAnsi="Cambria Math"/>
              </w:rPr>
              <m:t>H</m:t>
            </m:r>
            <m:ctrlPr>
              <w:rPr>
                <w:rFonts w:ascii="Cambria Math" w:hAnsi="Cambria Math"/>
                <w:i/>
                <w:iCs/>
              </w:rPr>
            </m:ctrlPr>
          </m:sub>
        </m:sSub>
      </m:oMath>
      <w:r>
        <w:t>——</w:t>
      </w:r>
      <w:r>
        <w:rPr>
          <w:rFonts w:hint="eastAsia"/>
        </w:rPr>
        <w:t>检测区域超压区域面积权重</w:t>
      </w:r>
      <w:r>
        <w:rPr>
          <w:rFonts w:hint="eastAsia"/>
          <w:lang w:eastAsia="zh-CN"/>
        </w:rPr>
        <w:t>，</w:t>
      </w:r>
      <w:r>
        <w:rPr>
          <w:rFonts w:hint="eastAsia"/>
          <w:lang w:val="en-US" w:eastAsia="zh-CN"/>
        </w:rPr>
        <w:t>按</w:t>
      </w:r>
      <w:r>
        <w:rPr>
          <w:rFonts w:hint="eastAsia"/>
        </w:rPr>
        <w:t>区域块数取值如表4</w:t>
      </w:r>
      <w:r>
        <w:rPr>
          <w:rFonts w:hint="eastAsia"/>
          <w:lang w:eastAsia="zh-CN"/>
        </w:rPr>
        <w:t>。</w:t>
      </w:r>
    </w:p>
    <w:p w14:paraId="6E10EA34">
      <w:pPr>
        <w:pStyle w:val="57"/>
        <w:rPr>
          <w:rFonts w:hint="eastAsia"/>
        </w:rPr>
      </w:pPr>
    </w:p>
    <w:p w14:paraId="630A1B5A">
      <w:pPr>
        <w:pStyle w:val="57"/>
        <w:jc w:val="right"/>
        <w:rPr>
          <w:position w:val="-40"/>
        </w:rPr>
      </w:pPr>
      <w:bookmarkStart w:id="70" w:name="_Hlk188276371"/>
      <w:r>
        <w:rPr>
          <w:position w:val="-23"/>
        </w:rPr>
        <w:object>
          <v:shape id="_x0000_i1035" o:spt="75" type="#_x0000_t75" style="height:29pt;width:94.05pt;" o:ole="t" filled="f" o:preferrelative="t" stroked="f" coordsize="21600,21600">
            <v:path/>
            <v:fill on="f" focussize="0,0"/>
            <v:stroke on="f" joinstyle="miter"/>
            <v:imagedata r:id="rId39" o:title=""/>
            <o:lock v:ext="edit" aspectratio="t"/>
            <w10:wrap type="none"/>
            <w10:anchorlock/>
          </v:shape>
          <o:OLEObject Type="Embed" ProgID="Equation.AxMath" ShapeID="_x0000_i1035" DrawAspect="Content" ObjectID="_1468075735" r:id="rId38">
            <o:LockedField>false</o:LockedField>
          </o:OLEObject>
        </w:object>
      </w:r>
      <w:r>
        <w:t>………………………………………（</w:t>
      </w:r>
      <w:r>
        <w:rPr>
          <w:rFonts w:hint="eastAsia" w:ascii="Cambria Math" w:hAnsi="Cambria Math"/>
        </w:rPr>
        <w:t>1</w:t>
      </w:r>
      <w:r>
        <w:rPr>
          <w:rFonts w:hint="eastAsia" w:ascii="Cambria Math" w:hAnsi="Cambria Math"/>
          <w:lang w:val="en-US" w:eastAsia="zh-CN"/>
        </w:rPr>
        <w:t>1</w:t>
      </w:r>
      <w:r>
        <w:rPr>
          <w:rFonts w:ascii="Cambria Math" w:hAnsi="Cambria Math"/>
        </w:rPr>
        <w:t>）</w:t>
      </w:r>
    </w:p>
    <w:p w14:paraId="27870E03">
      <w:pPr>
        <w:pStyle w:val="57"/>
        <w:rPr>
          <w:rFonts w:ascii="Cambria Math" w:hAnsi="Cambria Math"/>
          <w:i/>
          <w:iCs/>
        </w:rPr>
      </w:pPr>
      <w:r>
        <w:rPr>
          <w:rFonts w:hint="eastAsia"/>
        </w:rPr>
        <w:t>式中：</w:t>
      </w:r>
    </w:p>
    <w:p w14:paraId="14696E11">
      <w:pPr>
        <w:pStyle w:val="57"/>
      </w:pPr>
      <m:oMath>
        <m:sSub>
          <m:sSubPr>
            <m:ctrlPr>
              <w:rPr>
                <w:rFonts w:ascii="Cambria Math" w:hAnsi="Cambria Math"/>
                <w:i/>
                <w:iCs/>
              </w:rPr>
            </m:ctrlPr>
          </m:sSubPr>
          <m:e>
            <m:r>
              <m:rPr/>
              <w:rPr>
                <w:rFonts w:ascii="Cambria Math" w:hAnsi="Cambria Math"/>
              </w:rPr>
              <m:t>ω</m:t>
            </m:r>
            <m:ctrlPr>
              <w:rPr>
                <w:rFonts w:ascii="Cambria Math" w:hAnsi="Cambria Math"/>
                <w:i/>
                <w:iCs/>
              </w:rPr>
            </m:ctrlPr>
          </m:e>
          <m:sub>
            <m:r>
              <m:rPr/>
              <w:rPr>
                <w:rFonts w:ascii="Cambria Math" w:hAnsi="Cambria Math"/>
              </w:rPr>
              <m:t>L</m:t>
            </m:r>
            <m:ctrlPr>
              <w:rPr>
                <w:rFonts w:ascii="Cambria Math" w:hAnsi="Cambria Math"/>
                <w:i/>
                <w:iCs/>
              </w:rPr>
            </m:ctrlPr>
          </m:sub>
        </m:sSub>
      </m:oMath>
      <w:r>
        <w:t>——</w:t>
      </w:r>
      <w:r>
        <w:rPr>
          <w:rFonts w:hint="eastAsia"/>
        </w:rPr>
        <w:t>检测区域欠压区域面积权重</w:t>
      </w:r>
      <w:r>
        <w:rPr>
          <w:rFonts w:hint="eastAsia"/>
          <w:lang w:eastAsia="zh-CN"/>
        </w:rPr>
        <w:t>，</w:t>
      </w:r>
      <w:r>
        <w:rPr>
          <w:rFonts w:hint="eastAsia"/>
          <w:lang w:val="en-US" w:eastAsia="zh-CN"/>
        </w:rPr>
        <w:t>按</w:t>
      </w:r>
      <w:r>
        <w:rPr>
          <w:rFonts w:hint="eastAsia"/>
        </w:rPr>
        <w:t>区域块数取值</w:t>
      </w:r>
      <w:r>
        <w:rPr>
          <w:rFonts w:hint="eastAsia"/>
          <w:lang w:val="en-US" w:eastAsia="zh-CN"/>
        </w:rPr>
        <w:t>见</w:t>
      </w:r>
      <w:r>
        <w:rPr>
          <w:rFonts w:hint="eastAsia"/>
        </w:rPr>
        <w:t>表4。</w:t>
      </w:r>
    </w:p>
    <w:bookmarkEnd w:id="70"/>
    <w:p w14:paraId="35060763">
      <w:pPr>
        <w:pStyle w:val="113"/>
        <w:spacing w:before="156" w:after="156"/>
        <w:ind w:left="0"/>
      </w:pPr>
      <w:r>
        <w:rPr>
          <w:rFonts w:hint="eastAsia"/>
        </w:rPr>
        <w:t>分散度权重赋值表</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1E75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000" w:type="pct"/>
            <w:shd w:val="clear" w:color="auto" w:fill="auto"/>
            <w:vAlign w:val="center"/>
          </w:tcPr>
          <w:p w14:paraId="27129047">
            <w:pPr>
              <w:spacing w:line="240" w:lineRule="auto"/>
              <w:jc w:val="center"/>
              <w:rPr>
                <w:rFonts w:hint="eastAsia" w:ascii="宋体" w:hAnsi="宋体"/>
                <w:sz w:val="18"/>
                <w:szCs w:val="18"/>
              </w:rPr>
            </w:pPr>
            <w:r>
              <w:rPr>
                <w:rFonts w:hint="eastAsia" w:ascii="宋体" w:hAnsi="宋体"/>
                <w:sz w:val="18"/>
                <w:szCs w:val="18"/>
              </w:rPr>
              <w:t>区域块数</w:t>
            </w:r>
          </w:p>
        </w:tc>
        <w:tc>
          <w:tcPr>
            <w:tcW w:w="1000" w:type="pct"/>
            <w:shd w:val="clear" w:color="auto" w:fill="auto"/>
            <w:vAlign w:val="center"/>
          </w:tcPr>
          <w:p w14:paraId="3D1AD35D">
            <w:pPr>
              <w:spacing w:line="240" w:lineRule="auto"/>
              <w:jc w:val="center"/>
              <w:rPr>
                <w:rFonts w:hint="eastAsia" w:ascii="宋体" w:hAnsi="宋体"/>
                <w:sz w:val="18"/>
                <w:szCs w:val="18"/>
              </w:rPr>
            </w:pPr>
            <w:r>
              <w:rPr>
                <w:rFonts w:hint="eastAsia" w:ascii="宋体" w:hAnsi="宋体"/>
                <w:sz w:val="18"/>
                <w:szCs w:val="18"/>
              </w:rPr>
              <w:t>1块</w:t>
            </w:r>
          </w:p>
        </w:tc>
        <w:tc>
          <w:tcPr>
            <w:tcW w:w="1000" w:type="pct"/>
            <w:shd w:val="clear" w:color="auto" w:fill="auto"/>
            <w:vAlign w:val="center"/>
          </w:tcPr>
          <w:p w14:paraId="68876DDE">
            <w:pPr>
              <w:spacing w:line="240" w:lineRule="auto"/>
              <w:jc w:val="center"/>
              <w:rPr>
                <w:rFonts w:hint="eastAsia" w:ascii="宋体" w:hAnsi="宋体"/>
                <w:sz w:val="18"/>
                <w:szCs w:val="18"/>
              </w:rPr>
            </w:pPr>
            <w:r>
              <w:rPr>
                <w:rFonts w:hint="eastAsia" w:ascii="宋体" w:hAnsi="宋体"/>
                <w:sz w:val="18"/>
                <w:szCs w:val="18"/>
              </w:rPr>
              <w:t>2～</w:t>
            </w:r>
            <w:r>
              <w:rPr>
                <w:rFonts w:ascii="宋体" w:hAnsi="宋体"/>
                <w:sz w:val="18"/>
                <w:szCs w:val="18"/>
              </w:rPr>
              <w:t>3</w:t>
            </w:r>
            <w:r>
              <w:rPr>
                <w:rFonts w:hint="eastAsia" w:ascii="宋体" w:hAnsi="宋体"/>
                <w:sz w:val="18"/>
                <w:szCs w:val="18"/>
              </w:rPr>
              <w:t>块</w:t>
            </w:r>
          </w:p>
        </w:tc>
        <w:tc>
          <w:tcPr>
            <w:tcW w:w="1000" w:type="pct"/>
            <w:shd w:val="clear" w:color="auto" w:fill="auto"/>
            <w:vAlign w:val="center"/>
          </w:tcPr>
          <w:p w14:paraId="61FCFB0A">
            <w:pPr>
              <w:spacing w:line="240" w:lineRule="auto"/>
              <w:jc w:val="center"/>
              <w:rPr>
                <w:rFonts w:hint="eastAsia" w:ascii="宋体" w:hAnsi="宋体"/>
                <w:sz w:val="18"/>
                <w:szCs w:val="18"/>
              </w:rPr>
            </w:pPr>
            <w:r>
              <w:rPr>
                <w:rFonts w:ascii="宋体" w:hAnsi="宋体"/>
                <w:sz w:val="18"/>
                <w:szCs w:val="18"/>
              </w:rPr>
              <w:t>4</w:t>
            </w:r>
            <w:r>
              <w:rPr>
                <w:rFonts w:hint="eastAsia" w:ascii="宋体" w:hAnsi="宋体"/>
                <w:sz w:val="18"/>
                <w:szCs w:val="18"/>
              </w:rPr>
              <w:t>～</w:t>
            </w:r>
            <w:r>
              <w:rPr>
                <w:rFonts w:ascii="宋体" w:hAnsi="宋体"/>
                <w:sz w:val="18"/>
                <w:szCs w:val="18"/>
              </w:rPr>
              <w:t>5</w:t>
            </w:r>
            <w:r>
              <w:rPr>
                <w:rFonts w:hint="eastAsia" w:ascii="宋体" w:hAnsi="宋体"/>
                <w:sz w:val="18"/>
                <w:szCs w:val="18"/>
              </w:rPr>
              <w:t>块</w:t>
            </w:r>
          </w:p>
        </w:tc>
        <w:tc>
          <w:tcPr>
            <w:tcW w:w="1000" w:type="pct"/>
            <w:shd w:val="clear" w:color="auto" w:fill="auto"/>
            <w:vAlign w:val="center"/>
          </w:tcPr>
          <w:p w14:paraId="11322E59">
            <w:pPr>
              <w:spacing w:line="240" w:lineRule="auto"/>
              <w:jc w:val="center"/>
              <w:rPr>
                <w:rFonts w:hint="eastAsia" w:ascii="宋体" w:hAnsi="宋体"/>
                <w:sz w:val="18"/>
                <w:szCs w:val="18"/>
              </w:rPr>
            </w:pPr>
            <w:r>
              <w:rPr>
                <w:rFonts w:hint="eastAsia" w:ascii="宋体" w:hAnsi="宋体"/>
                <w:sz w:val="18"/>
                <w:szCs w:val="18"/>
              </w:rPr>
              <w:t>≥6块</w:t>
            </w:r>
          </w:p>
        </w:tc>
      </w:tr>
      <w:tr w14:paraId="5B9A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1000" w:type="pct"/>
            <w:shd w:val="clear" w:color="auto" w:fill="auto"/>
            <w:vAlign w:val="center"/>
          </w:tcPr>
          <w:p w14:paraId="4F15A293">
            <w:pPr>
              <w:spacing w:line="240" w:lineRule="auto"/>
              <w:jc w:val="center"/>
              <w:rPr>
                <w:rFonts w:hint="eastAsia" w:ascii="宋体" w:hAnsi="宋体"/>
                <w:sz w:val="18"/>
                <w:szCs w:val="18"/>
              </w:rPr>
            </w:pPr>
            <w:r>
              <w:rPr>
                <w:rFonts w:hint="eastAsia" w:ascii="宋体" w:hAnsi="宋体"/>
                <w:sz w:val="18"/>
                <w:szCs w:val="18"/>
              </w:rPr>
              <w:t>权重赋值</w:t>
            </w:r>
          </w:p>
        </w:tc>
        <w:tc>
          <w:tcPr>
            <w:tcW w:w="1000" w:type="pct"/>
            <w:shd w:val="clear" w:color="auto" w:fill="auto"/>
            <w:vAlign w:val="center"/>
          </w:tcPr>
          <w:p w14:paraId="712F2A43">
            <w:pPr>
              <w:spacing w:line="240" w:lineRule="auto"/>
              <w:jc w:val="center"/>
              <w:rPr>
                <w:rFonts w:hint="eastAsia" w:ascii="宋体" w:hAnsi="宋体"/>
                <w:sz w:val="18"/>
                <w:szCs w:val="18"/>
              </w:rPr>
            </w:pPr>
            <w:r>
              <w:rPr>
                <w:rFonts w:hint="eastAsia" w:ascii="宋体" w:hAnsi="宋体"/>
                <w:sz w:val="18"/>
                <w:szCs w:val="18"/>
              </w:rPr>
              <w:t>1</w:t>
            </w:r>
          </w:p>
        </w:tc>
        <w:tc>
          <w:tcPr>
            <w:tcW w:w="1000" w:type="pct"/>
            <w:shd w:val="clear" w:color="auto" w:fill="auto"/>
            <w:vAlign w:val="center"/>
          </w:tcPr>
          <w:p w14:paraId="50B8F49C">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.7</w:t>
            </w:r>
          </w:p>
        </w:tc>
        <w:tc>
          <w:tcPr>
            <w:tcW w:w="1000" w:type="pct"/>
            <w:shd w:val="clear" w:color="auto" w:fill="auto"/>
            <w:vAlign w:val="center"/>
          </w:tcPr>
          <w:p w14:paraId="7ED12D55">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.5</w:t>
            </w:r>
          </w:p>
        </w:tc>
        <w:tc>
          <w:tcPr>
            <w:tcW w:w="1000" w:type="pct"/>
            <w:shd w:val="clear" w:color="auto" w:fill="auto"/>
            <w:vAlign w:val="center"/>
          </w:tcPr>
          <w:p w14:paraId="1D863D59">
            <w:pPr>
              <w:spacing w:line="240" w:lineRule="auto"/>
              <w:jc w:val="center"/>
              <w:rPr>
                <w:rFonts w:hint="eastAsia" w:ascii="宋体" w:hAnsi="宋体"/>
                <w:sz w:val="18"/>
                <w:szCs w:val="18"/>
              </w:rPr>
            </w:pPr>
            <w:r>
              <w:rPr>
                <w:rFonts w:hint="eastAsia" w:ascii="宋体" w:hAnsi="宋体"/>
                <w:sz w:val="18"/>
                <w:szCs w:val="18"/>
              </w:rPr>
              <w:t>0</w:t>
            </w:r>
            <w:r>
              <w:rPr>
                <w:rFonts w:ascii="宋体" w:hAnsi="宋体"/>
                <w:sz w:val="18"/>
                <w:szCs w:val="18"/>
              </w:rPr>
              <w:t>.3</w:t>
            </w:r>
          </w:p>
        </w:tc>
      </w:tr>
    </w:tbl>
    <w:p w14:paraId="4DC1AAF3">
      <w:pPr>
        <w:pStyle w:val="166"/>
      </w:pPr>
      <w:r>
        <w:rPr>
          <w:rFonts w:hint="eastAsia"/>
        </w:rPr>
        <w:t>厚度均匀性检测时，绘制厚度分布云图，计算极差，变异系数，</w:t>
      </w:r>
      <w:r>
        <w:rPr>
          <w:rFonts w:hint="eastAsia" w:ascii="Times New Roman"/>
          <w:spacing w:val="-11"/>
        </w:rPr>
        <w:t>按公式（</w:t>
      </w:r>
      <w:r>
        <w:rPr>
          <w:rFonts w:hint="eastAsia" w:ascii="Times New Roman"/>
          <w:spacing w:val="-11"/>
          <w:lang w:val="en-US" w:eastAsia="zh-CN"/>
        </w:rPr>
        <w:t>12</w:t>
      </w:r>
      <w:r>
        <w:rPr>
          <w:rFonts w:hint="eastAsia" w:ascii="Times New Roman"/>
          <w:spacing w:val="-11"/>
        </w:rPr>
        <w:t>）计算</w:t>
      </w:r>
      <w:r>
        <w:rPr>
          <w:rFonts w:hint="eastAsia"/>
        </w:rPr>
        <w:t>偏薄区域面积系数，</w:t>
      </w:r>
      <w:r>
        <w:rPr>
          <w:rFonts w:hint="eastAsia" w:ascii="Times New Roman"/>
          <w:spacing w:val="-11"/>
        </w:rPr>
        <w:t>按公式（</w:t>
      </w:r>
      <w:r>
        <w:rPr>
          <w:rFonts w:hint="eastAsia" w:ascii="Times New Roman"/>
          <w:spacing w:val="-11"/>
          <w:lang w:val="en-US" w:eastAsia="zh-CN"/>
        </w:rPr>
        <w:t>13</w:t>
      </w:r>
      <w:r>
        <w:rPr>
          <w:rFonts w:hint="eastAsia" w:ascii="Times New Roman"/>
          <w:spacing w:val="-11"/>
        </w:rPr>
        <w:t>）计算</w:t>
      </w:r>
      <w:r>
        <w:rPr>
          <w:rFonts w:hint="eastAsia"/>
        </w:rPr>
        <w:t>偏薄区域分布系数。</w:t>
      </w:r>
    </w:p>
    <w:p w14:paraId="52BC696F">
      <w:pPr>
        <w:widowControl/>
        <w:autoSpaceDE w:val="0"/>
        <w:autoSpaceDN w:val="0"/>
        <w:adjustRightInd/>
        <w:spacing w:line="240" w:lineRule="auto"/>
        <w:ind w:firstLine="376" w:firstLineChars="200"/>
        <w:rPr>
          <w:rFonts w:ascii="Times New Roman" w:hAnsi="Times New Roman"/>
          <w:spacing w:val="-11"/>
          <w:kern w:val="0"/>
          <w:szCs w:val="20"/>
        </w:rPr>
      </w:pPr>
    </w:p>
    <w:p w14:paraId="7C098885">
      <w:pPr>
        <w:widowControl/>
        <w:autoSpaceDE w:val="0"/>
        <w:autoSpaceDN w:val="0"/>
        <w:adjustRightInd/>
        <w:spacing w:line="240" w:lineRule="auto"/>
        <w:ind w:firstLine="420" w:firstLineChars="200"/>
        <w:jc w:val="right"/>
        <w:rPr>
          <w:rFonts w:ascii="Cambria Math" w:hAnsi="Cambria Math"/>
          <w:kern w:val="0"/>
          <w:szCs w:val="20"/>
        </w:rPr>
      </w:pPr>
      <w:r>
        <w:rPr>
          <w:rFonts w:ascii="宋体" w:hAnsi="Times New Roman"/>
          <w:kern w:val="0"/>
          <w:position w:val="-23"/>
          <w:szCs w:val="20"/>
        </w:rPr>
        <w:object>
          <v:shape id="_x0000_i1036" o:spt="75" type="#_x0000_t75" style="height:35.45pt;width:98.35pt;" o:ole="t" filled="f" o:preferrelative="t" stroked="f" coordsize="21600,21600">
            <v:path/>
            <v:fill on="f" focussize="0,0"/>
            <v:stroke on="f" joinstyle="miter"/>
            <v:imagedata r:id="rId41" o:title=""/>
            <o:lock v:ext="edit" aspectratio="t"/>
            <w10:wrap type="none"/>
            <w10:anchorlock/>
          </v:shape>
          <o:OLEObject Type="Embed" ProgID="Equation.AxMath" ShapeID="_x0000_i1036" DrawAspect="Content" ObjectID="_1468075736" r:id="rId40">
            <o:LockedField>false</o:LockedField>
          </o:OLEObject>
        </w:object>
      </w:r>
      <w:r>
        <w:rPr>
          <w:sz w:val="28"/>
          <w:szCs w:val="24"/>
        </w:rPr>
        <w:t>………………………………………</w:t>
      </w:r>
      <w:r>
        <w:rPr>
          <w:rFonts w:ascii="Cambria Math" w:hAnsi="Cambria Math"/>
          <w:kern w:val="0"/>
          <w:szCs w:val="20"/>
        </w:rPr>
        <w:t>（</w:t>
      </w:r>
      <w:r>
        <w:rPr>
          <w:rFonts w:hint="eastAsia" w:ascii="Cambria Math" w:hAnsi="Cambria Math"/>
          <w:kern w:val="0"/>
          <w:szCs w:val="20"/>
        </w:rPr>
        <w:t>1</w:t>
      </w:r>
      <w:r>
        <w:rPr>
          <w:rFonts w:hint="eastAsia" w:ascii="Cambria Math" w:hAnsi="Cambria Math"/>
          <w:kern w:val="0"/>
          <w:szCs w:val="20"/>
          <w:lang w:val="en-US" w:eastAsia="zh-CN"/>
        </w:rPr>
        <w:t>2</w:t>
      </w:r>
      <w:r>
        <w:rPr>
          <w:rFonts w:ascii="Cambria Math" w:hAnsi="Cambria Math"/>
          <w:kern w:val="0"/>
          <w:szCs w:val="20"/>
        </w:rPr>
        <w:t>）</w:t>
      </w:r>
    </w:p>
    <w:p w14:paraId="54BBD9EA">
      <w:pPr>
        <w:pStyle w:val="57"/>
        <w:rPr>
          <w:rFonts w:ascii="Cambria Math" w:hAnsi="Cambria Math"/>
          <w:i/>
          <w:iCs/>
        </w:rPr>
      </w:pPr>
      <w:r>
        <w:rPr>
          <w:rFonts w:hint="eastAsia"/>
        </w:rPr>
        <w:t>式中：</w:t>
      </w:r>
      <w:r>
        <w:rPr>
          <w:rFonts w:ascii="Cambria Math" w:hAnsi="Cambria Math"/>
          <w:i/>
          <w:iCs/>
        </w:rPr>
        <w:t xml:space="preserve"> </w:t>
      </w:r>
    </w:p>
    <w:p w14:paraId="2D389F85">
      <w:pPr>
        <w:pStyle w:val="57"/>
      </w:pPr>
      <m:oMath>
        <m:sSub>
          <m:sSubPr>
            <m:ctrlPr>
              <w:rPr>
                <w:rFonts w:ascii="Cambria Math" w:hAnsi="Cambria Math"/>
                <w:i/>
                <w:iCs/>
              </w:rPr>
            </m:ctrlPr>
          </m:sSubPr>
          <m:e>
            <m:r>
              <m:rPr/>
              <w:rPr>
                <w:rFonts w:ascii="Cambria Math" w:hAnsi="Cambria Math"/>
              </w:rPr>
              <m:t>A</m:t>
            </m:r>
            <m:ctrlPr>
              <w:rPr>
                <w:rFonts w:ascii="Cambria Math" w:hAnsi="Cambria Math"/>
                <w:i/>
                <w:iCs/>
              </w:rPr>
            </m:ctrlPr>
          </m:e>
          <m:sub>
            <m:r>
              <m:rPr/>
              <w:rPr>
                <w:rFonts w:hint="eastAsia" w:ascii="Cambria Math" w:hAnsi="Cambria Math"/>
              </w:rPr>
              <m:t>T</m:t>
            </m:r>
            <m:ctrlPr>
              <w:rPr>
                <w:rFonts w:ascii="Cambria Math" w:hAnsi="Cambria Math"/>
                <w:i/>
                <w:iCs/>
              </w:rPr>
            </m:ctrlPr>
          </m:sub>
        </m:sSub>
      </m:oMath>
      <w:r>
        <w:t>——</w:t>
      </w:r>
      <w:r>
        <w:rPr>
          <w:rFonts w:hint="eastAsia"/>
        </w:rPr>
        <w:t>检测区域偏薄区域面积</w:t>
      </w:r>
      <w:r>
        <w:rPr>
          <w:rFonts w:hint="eastAsia"/>
          <w:lang w:eastAsia="zh-CN"/>
        </w:rPr>
        <w:t>，</w:t>
      </w:r>
      <w:r>
        <w:rPr>
          <w:rFonts w:hint="eastAsia"/>
          <w:lang w:val="en-US" w:eastAsia="zh-CN"/>
        </w:rPr>
        <w:t>单位为平方米（m</w:t>
      </w:r>
      <w:r>
        <w:rPr>
          <w:rFonts w:hint="eastAsia"/>
          <w:vertAlign w:val="superscript"/>
          <w:lang w:val="en-US" w:eastAsia="zh-CN"/>
        </w:rPr>
        <w:t>2</w:t>
      </w:r>
      <w:r>
        <w:rPr>
          <w:rFonts w:hint="eastAsia"/>
          <w:vertAlign w:val="baseline"/>
          <w:lang w:val="en-US" w:eastAsia="zh-CN"/>
        </w:rPr>
        <w:t>）</w:t>
      </w:r>
      <w:r>
        <w:rPr>
          <w:rFonts w:hint="eastAsia"/>
        </w:rPr>
        <w:t>；偏薄指检测厚度小于设计厚度的</w:t>
      </w:r>
      <w:r>
        <w:rPr>
          <w:rFonts w:hint="eastAsia"/>
          <w:lang w:val="en-US" w:eastAsia="zh-CN"/>
        </w:rPr>
        <w:t>9</w:t>
      </w:r>
      <w:r>
        <w:rPr>
          <w:rFonts w:hint="eastAsia"/>
        </w:rPr>
        <w:t>5%。</w:t>
      </w:r>
    </w:p>
    <w:p w14:paraId="5EACC96E">
      <w:pPr>
        <w:pStyle w:val="57"/>
      </w:pPr>
      <w:r>
        <w:rPr>
          <w:rFonts w:hint="eastAsia"/>
        </w:rPr>
        <w:t>按公式（19）计算偏薄区域分布系数</w:t>
      </w:r>
    </w:p>
    <w:p w14:paraId="5972EC4E">
      <w:pPr>
        <w:pStyle w:val="57"/>
        <w:jc w:val="right"/>
        <w:rPr>
          <w:position w:val="-40"/>
        </w:rPr>
      </w:pPr>
      <w:r>
        <w:rPr>
          <w:position w:val="-23"/>
        </w:rPr>
        <w:object>
          <v:shape id="_x0000_i1037" o:spt="75" type="#_x0000_t75" style="height:29pt;width:94.05pt;" o:ole="t" filled="f" o:preferrelative="t" stroked="f" coordsize="21600,21600">
            <v:path/>
            <v:fill on="f" focussize="0,0"/>
            <v:stroke on="f" joinstyle="miter"/>
            <v:imagedata r:id="rId43" o:title=""/>
            <o:lock v:ext="edit" aspectratio="t"/>
            <w10:wrap type="none"/>
            <w10:anchorlock/>
          </v:shape>
          <o:OLEObject Type="Embed" ProgID="Equation.AxMath" ShapeID="_x0000_i1037" DrawAspect="Content" ObjectID="_1468075737" r:id="rId42">
            <o:LockedField>false</o:LockedField>
          </o:OLEObject>
        </w:object>
      </w:r>
      <w:r>
        <w:t>…………………………………（</w:t>
      </w:r>
      <w:r>
        <w:rPr>
          <w:rFonts w:hint="eastAsia" w:ascii="Cambria Math" w:hAnsi="Cambria Math"/>
        </w:rPr>
        <w:t>1</w:t>
      </w:r>
      <w:r>
        <w:rPr>
          <w:rFonts w:hint="eastAsia" w:ascii="Cambria Math" w:hAnsi="Cambria Math"/>
          <w:lang w:val="en-US" w:eastAsia="zh-CN"/>
        </w:rPr>
        <w:t>3</w:t>
      </w:r>
      <w:r>
        <w:rPr>
          <w:rFonts w:ascii="Cambria Math" w:hAnsi="Cambria Math"/>
        </w:rPr>
        <w:t>）</w:t>
      </w:r>
    </w:p>
    <w:p w14:paraId="6059E5A1">
      <w:pPr>
        <w:pStyle w:val="57"/>
        <w:rPr>
          <w:rFonts w:ascii="Cambria Math" w:hAnsi="Cambria Math"/>
          <w:i/>
          <w:iCs/>
        </w:rPr>
      </w:pPr>
      <w:r>
        <w:rPr>
          <w:rFonts w:hint="eastAsia"/>
        </w:rPr>
        <w:t>式中：</w:t>
      </w:r>
      <w:r>
        <w:rPr>
          <w:rFonts w:ascii="Cambria Math" w:hAnsi="Cambria Math"/>
          <w:i/>
          <w:iCs/>
        </w:rPr>
        <w:t xml:space="preserve"> </w:t>
      </w:r>
    </w:p>
    <w:p w14:paraId="343285FD">
      <w:pPr>
        <w:pStyle w:val="57"/>
        <w:rPr>
          <w:rFonts w:hint="eastAsia"/>
          <w:position w:val="-40"/>
        </w:rPr>
      </w:pPr>
      <m:oMath>
        <m:sSub>
          <m:sSubPr>
            <m:ctrlPr>
              <w:rPr>
                <w:rFonts w:ascii="Cambria Math" w:hAnsi="Cambria Math"/>
                <w:i/>
                <w:iCs/>
              </w:rPr>
            </m:ctrlPr>
          </m:sSubPr>
          <m:e>
            <m:r>
              <m:rPr/>
              <w:rPr>
                <w:rFonts w:ascii="Cambria Math" w:hAnsi="Cambria Math"/>
              </w:rPr>
              <m:t>ω</m:t>
            </m:r>
            <m:ctrlPr>
              <w:rPr>
                <w:rFonts w:ascii="Cambria Math" w:hAnsi="Cambria Math"/>
                <w:i/>
                <w:iCs/>
              </w:rPr>
            </m:ctrlPr>
          </m:e>
          <m:sub>
            <m:r>
              <m:rPr/>
              <w:rPr>
                <w:rFonts w:ascii="Cambria Math" w:hAnsi="Cambria Math"/>
              </w:rPr>
              <m:t>T</m:t>
            </m:r>
            <m:ctrlPr>
              <w:rPr>
                <w:rFonts w:ascii="Cambria Math" w:hAnsi="Cambria Math"/>
                <w:i/>
                <w:iCs/>
              </w:rPr>
            </m:ctrlPr>
          </m:sub>
        </m:sSub>
      </m:oMath>
      <w:r>
        <w:t>——</w:t>
      </w:r>
      <w:r>
        <w:rPr>
          <w:rFonts w:hint="eastAsia"/>
        </w:rPr>
        <w:t>检测区域偏薄区域面积权重</w:t>
      </w:r>
      <w:r>
        <w:rPr>
          <w:rFonts w:hint="eastAsia"/>
          <w:lang w:eastAsia="zh-CN"/>
        </w:rPr>
        <w:t>，</w:t>
      </w:r>
      <w:r>
        <w:rPr>
          <w:rFonts w:hint="eastAsia"/>
          <w:lang w:val="en-US" w:eastAsia="zh-CN"/>
        </w:rPr>
        <w:t>按</w:t>
      </w:r>
      <w:r>
        <w:rPr>
          <w:rFonts w:hint="eastAsia"/>
        </w:rPr>
        <w:t>区域块数取值如表4。</w:t>
      </w:r>
    </w:p>
    <w:p w14:paraId="4CB6095D">
      <w:pPr>
        <w:pStyle w:val="106"/>
        <w:spacing w:before="156" w:after="156"/>
      </w:pPr>
      <w:bookmarkStart w:id="71" w:name="_Toc28421"/>
      <w:r>
        <w:rPr>
          <w:rFonts w:hint="eastAsia"/>
        </w:rPr>
        <w:t>报告</w:t>
      </w:r>
      <w:bookmarkEnd w:id="71"/>
    </w:p>
    <w:p w14:paraId="14E74A66">
      <w:pPr>
        <w:pStyle w:val="57"/>
        <w:rPr>
          <w:rFonts w:hint="eastAsia" w:eastAsia="宋体"/>
          <w:lang w:eastAsia="zh-CN"/>
        </w:rPr>
      </w:pPr>
      <w:r>
        <w:rPr>
          <w:rFonts w:hint="eastAsia"/>
        </w:rPr>
        <w:t>报告</w:t>
      </w:r>
      <w:r>
        <w:rPr>
          <w:rFonts w:hint="eastAsia" w:ascii="Times New Roman" w:hAnsi="Times New Roman"/>
          <w:lang w:bidi="ar"/>
        </w:rPr>
        <w:t>至少</w:t>
      </w:r>
      <w:r>
        <w:rPr>
          <w:rFonts w:hint="eastAsia"/>
        </w:rPr>
        <w:t>应包括如下内容</w:t>
      </w:r>
      <w:r>
        <w:rPr>
          <w:rFonts w:hint="eastAsia"/>
          <w:lang w:eastAsia="zh-CN"/>
        </w:rPr>
        <w:t>。</w:t>
      </w:r>
    </w:p>
    <w:p w14:paraId="7CBC8DB5">
      <w:pPr>
        <w:pStyle w:val="57"/>
        <w:numPr>
          <w:ilvl w:val="0"/>
          <w:numId w:val="33"/>
        </w:numPr>
      </w:pPr>
      <w:r>
        <w:rPr>
          <w:rFonts w:hint="eastAsia"/>
        </w:rPr>
        <w:t>本文件编号及项目概况</w:t>
      </w:r>
      <w:r>
        <w:rPr>
          <w:rFonts w:hint="eastAsia"/>
          <w:lang w:eastAsia="zh-CN"/>
        </w:rPr>
        <w:t>。</w:t>
      </w:r>
    </w:p>
    <w:p w14:paraId="16CEDA36">
      <w:pPr>
        <w:pStyle w:val="57"/>
        <w:numPr>
          <w:ilvl w:val="0"/>
          <w:numId w:val="33"/>
        </w:numPr>
      </w:pPr>
      <w:r>
        <w:rPr>
          <w:rFonts w:hint="eastAsia"/>
        </w:rPr>
        <w:t>检测设备及标定结果</w:t>
      </w:r>
      <w:r>
        <w:rPr>
          <w:rFonts w:hint="eastAsia"/>
          <w:lang w:eastAsia="zh-CN"/>
        </w:rPr>
        <w:t>。</w:t>
      </w:r>
    </w:p>
    <w:p w14:paraId="16817CF5">
      <w:pPr>
        <w:pStyle w:val="57"/>
        <w:numPr>
          <w:ilvl w:val="0"/>
          <w:numId w:val="33"/>
        </w:numPr>
      </w:pPr>
      <w:r>
        <w:rPr>
          <w:rFonts w:hint="eastAsia"/>
        </w:rPr>
        <w:t>检测范围及检测过程</w:t>
      </w:r>
      <w:r>
        <w:rPr>
          <w:rFonts w:hint="eastAsia"/>
          <w:lang w:eastAsia="zh-CN"/>
        </w:rPr>
        <w:t>。</w:t>
      </w:r>
    </w:p>
    <w:p w14:paraId="3ED8EE92">
      <w:pPr>
        <w:pStyle w:val="57"/>
        <w:numPr>
          <w:ilvl w:val="0"/>
          <w:numId w:val="33"/>
        </w:numPr>
      </w:pPr>
      <w:r>
        <w:rPr>
          <w:rFonts w:hint="eastAsia"/>
        </w:rPr>
        <w:t>检测结果：</w:t>
      </w:r>
    </w:p>
    <w:p w14:paraId="4CA3EA56">
      <w:pPr>
        <w:pStyle w:val="57"/>
      </w:pPr>
      <w:r>
        <w:rPr>
          <w:rFonts w:hint="eastAsia"/>
        </w:rPr>
        <w:t>1）数据类结果：测区压实度（温度）原始数据及检测数据处理结果，包括极差，变异系数，不均匀性区域面积系数，不均匀性区域分布系数等；</w:t>
      </w:r>
    </w:p>
    <w:p w14:paraId="273E0C45">
      <w:pPr>
        <w:pStyle w:val="57"/>
        <w:rPr>
          <w:rFonts w:hint="eastAsia" w:eastAsia="宋体"/>
          <w:lang w:eastAsia="zh-CN"/>
        </w:rPr>
      </w:pPr>
      <w:r>
        <w:rPr>
          <w:rFonts w:hint="eastAsia"/>
        </w:rPr>
        <w:t>2）图件类结果：包括测区划分及测线布置图，测区压实度（厚度）分布云图，不均匀性区域分布图，成果解释图等</w:t>
      </w:r>
      <w:r>
        <w:rPr>
          <w:rFonts w:hint="eastAsia"/>
          <w:lang w:eastAsia="zh-CN"/>
        </w:rPr>
        <w:t>。</w:t>
      </w:r>
    </w:p>
    <w:p w14:paraId="73B46CF2">
      <w:pPr>
        <w:pStyle w:val="57"/>
        <w:numPr>
          <w:ilvl w:val="0"/>
          <w:numId w:val="33"/>
        </w:numPr>
      </w:pPr>
      <w:r>
        <w:rPr>
          <w:rFonts w:hint="eastAsia"/>
        </w:rPr>
        <w:t>检测结论。</w:t>
      </w:r>
    </w:p>
    <w:p w14:paraId="31F908AE">
      <w:pPr>
        <w:pStyle w:val="77"/>
        <w:spacing w:before="78" w:after="156"/>
      </w:pPr>
      <w:r>
        <w:br w:type="page"/>
      </w:r>
      <w:bookmarkStart w:id="72" w:name="_Toc822"/>
      <w:r>
        <w:rPr/>
        <w:br w:type="textWrapping" w:clear="all"/>
      </w:r>
      <w:r>
        <w:rPr>
          <w:rFonts w:hint="eastAsia"/>
        </w:rPr>
        <w:t>（</w:t>
      </w:r>
      <w:r>
        <w:rPr>
          <w:rFonts w:hint="eastAsia"/>
          <w:lang w:eastAsia="zh-CN"/>
        </w:rPr>
        <w:t>资料</w:t>
      </w:r>
      <w:r>
        <w:rPr>
          <w:rFonts w:hint="eastAsia"/>
        </w:rPr>
        <w:t>性）</w:t>
      </w:r>
      <w:r>
        <w:rPr/>
        <w:br w:type="textWrapping" w:clear="all"/>
      </w:r>
      <w:r>
        <w:t>三维探地雷达现场记录表</w:t>
      </w:r>
      <w:bookmarkEnd w:id="72"/>
    </w:p>
    <w:p w14:paraId="26A07DA8">
      <w:pPr>
        <w:pStyle w:val="57"/>
        <w:rPr>
          <w:rFonts w:hint="eastAsia"/>
          <w:lang w:val="en-US" w:eastAsia="zh-CN"/>
        </w:rPr>
      </w:pPr>
      <w:r>
        <w:rPr>
          <w:rFonts w:hint="eastAsia"/>
          <w:lang w:val="en-US" w:eastAsia="zh-CN"/>
        </w:rPr>
        <w:t>三维探地雷达现场记录表如表A.1所示。</w:t>
      </w:r>
    </w:p>
    <w:p w14:paraId="5F96B136">
      <w:pPr>
        <w:pStyle w:val="57"/>
        <w:jc w:val="center"/>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表A.1 三维探地雷达现场记录表</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8"/>
        <w:gridCol w:w="854"/>
        <w:gridCol w:w="1135"/>
        <w:gridCol w:w="1563"/>
        <w:gridCol w:w="987"/>
        <w:gridCol w:w="845"/>
        <w:gridCol w:w="1136"/>
        <w:gridCol w:w="1557"/>
      </w:tblGrid>
      <w:tr w14:paraId="1A19D8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8785" w:type="dxa"/>
            <w:gridSpan w:val="8"/>
            <w:vAlign w:val="center"/>
          </w:tcPr>
          <w:p w14:paraId="34F78B26">
            <w:pPr>
              <w:pStyle w:val="13"/>
              <w:rPr>
                <w:rFonts w:hint="eastAsia" w:eastAsiaTheme="minorEastAsia"/>
              </w:rPr>
            </w:pPr>
            <w:r>
              <w:t xml:space="preserve">工程名称： </w:t>
            </w:r>
            <w:r>
              <w:rPr>
                <w:rFonts w:hint="eastAsia"/>
              </w:rPr>
              <w:t xml:space="preserve">                       </w:t>
            </w:r>
            <w:r>
              <w:tab/>
            </w:r>
            <w:r>
              <w:rPr>
                <w:spacing w:val="-3"/>
              </w:rPr>
              <w:t>探</w:t>
            </w:r>
            <w:r>
              <w:t>测地点：</w:t>
            </w:r>
            <w:r>
              <w:rPr>
                <w:rFonts w:eastAsia="Times New Roman"/>
              </w:rPr>
              <w:t xml:space="preserve"> </w:t>
            </w:r>
            <w:r>
              <w:rPr>
                <w:rFonts w:hint="eastAsia" w:eastAsiaTheme="minorEastAsia"/>
              </w:rPr>
              <w:t xml:space="preserve">                      </w:t>
            </w:r>
            <w:r>
              <w:rPr>
                <w:rFonts w:eastAsia="Times New Roman"/>
              </w:rPr>
              <w:tab/>
            </w:r>
          </w:p>
        </w:tc>
      </w:tr>
      <w:tr w14:paraId="4F5365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8785" w:type="dxa"/>
            <w:gridSpan w:val="8"/>
            <w:vAlign w:val="center"/>
          </w:tcPr>
          <w:p w14:paraId="6ABD8024">
            <w:pPr>
              <w:pStyle w:val="13"/>
              <w:rPr>
                <w:rFonts w:hint="eastAsia" w:eastAsiaTheme="minorEastAsia"/>
              </w:rPr>
            </w:pPr>
            <w:r>
              <w:t>仪器型号：</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天线频率范围（</w:t>
            </w:r>
            <w:r>
              <w:rPr>
                <w:rFonts w:eastAsia="Times New Roman"/>
                <w:spacing w:val="-1"/>
              </w:rPr>
              <w:t>MH</w:t>
            </w:r>
            <w:r>
              <w:rPr>
                <w:rFonts w:eastAsia="Times New Roman"/>
                <w:spacing w:val="1"/>
              </w:rPr>
              <w:t>z</w:t>
            </w:r>
            <w:r>
              <w:rPr>
                <w:spacing w:val="-120"/>
              </w:rPr>
              <w:t>）</w:t>
            </w:r>
            <w:r>
              <w:t>：</w:t>
            </w:r>
            <w:r>
              <w:rPr>
                <w:rFonts w:hint="eastAsia"/>
              </w:rPr>
              <w:t xml:space="preserve">    </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编号</w:t>
            </w:r>
            <w:r>
              <w:rPr>
                <w:spacing w:val="-2"/>
              </w:rPr>
              <w:t>：</w:t>
            </w:r>
            <w:r>
              <w:rPr>
                <w:rFonts w:eastAsia="Times New Roman"/>
                <w:u w:val="single"/>
              </w:rPr>
              <w:t xml:space="preserve"> </w:t>
            </w:r>
            <w:r>
              <w:rPr>
                <w:rFonts w:hint="eastAsia" w:eastAsiaTheme="minorEastAsia"/>
                <w:u w:val="single"/>
              </w:rPr>
              <w:t xml:space="preserve">   </w:t>
            </w:r>
            <w:r>
              <w:rPr>
                <w:rFonts w:eastAsia="Times New Roman"/>
                <w:u w:val="single"/>
              </w:rPr>
              <w:tab/>
            </w:r>
          </w:p>
        </w:tc>
      </w:tr>
      <w:tr w14:paraId="1DB9F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jc w:val="center"/>
        </w:trPr>
        <w:tc>
          <w:tcPr>
            <w:tcW w:w="708" w:type="dxa"/>
            <w:vMerge w:val="restart"/>
            <w:vAlign w:val="center"/>
          </w:tcPr>
          <w:p w14:paraId="75F52D43">
            <w:pPr>
              <w:pStyle w:val="234"/>
              <w:spacing w:before="176" w:line="333" w:lineRule="auto"/>
              <w:ind w:left="146" w:right="16" w:hanging="106"/>
              <w:jc w:val="both"/>
              <w:rPr>
                <w:rFonts w:ascii="Times New Roman" w:hAnsi="Times New Roman"/>
                <w:sz w:val="21"/>
              </w:rPr>
            </w:pPr>
            <w:r>
              <w:rPr>
                <w:rFonts w:ascii="Times New Roman" w:hAnsi="Times New Roman"/>
                <w:sz w:val="21"/>
              </w:rPr>
              <w:t>测线束编号</w:t>
            </w:r>
          </w:p>
        </w:tc>
        <w:tc>
          <w:tcPr>
            <w:tcW w:w="854" w:type="dxa"/>
            <w:vMerge w:val="restart"/>
            <w:vAlign w:val="center"/>
          </w:tcPr>
          <w:p w14:paraId="71D20F26">
            <w:pPr>
              <w:pStyle w:val="234"/>
              <w:spacing w:before="176" w:line="333" w:lineRule="auto"/>
              <w:ind w:left="218" w:right="90" w:hanging="106"/>
              <w:jc w:val="both"/>
              <w:rPr>
                <w:rFonts w:ascii="Times New Roman" w:hAnsi="Times New Roman"/>
                <w:sz w:val="21"/>
              </w:rPr>
            </w:pPr>
            <w:r>
              <w:rPr>
                <w:rFonts w:ascii="Times New Roman" w:hAnsi="Times New Roman"/>
                <w:sz w:val="21"/>
              </w:rPr>
              <w:t>测线束方向</w:t>
            </w:r>
          </w:p>
        </w:tc>
        <w:tc>
          <w:tcPr>
            <w:tcW w:w="1135" w:type="dxa"/>
            <w:vMerge w:val="restart"/>
            <w:vAlign w:val="center"/>
          </w:tcPr>
          <w:p w14:paraId="5CBCA29D">
            <w:pPr>
              <w:pStyle w:val="234"/>
              <w:spacing w:before="133"/>
              <w:ind w:left="146"/>
              <w:jc w:val="both"/>
              <w:rPr>
                <w:rFonts w:ascii="Times New Roman" w:hAnsi="Times New Roman"/>
                <w:sz w:val="21"/>
              </w:rPr>
            </w:pPr>
            <w:r>
              <w:rPr>
                <w:rFonts w:ascii="Times New Roman" w:hAnsi="Times New Roman"/>
                <w:sz w:val="21"/>
              </w:rPr>
              <w:t>道路名称</w:t>
            </w:r>
          </w:p>
        </w:tc>
        <w:tc>
          <w:tcPr>
            <w:tcW w:w="1563" w:type="dxa"/>
            <w:vMerge w:val="restart"/>
            <w:vAlign w:val="center"/>
          </w:tcPr>
          <w:p w14:paraId="0ECE55F1">
            <w:pPr>
              <w:pStyle w:val="234"/>
              <w:spacing w:before="176" w:line="333" w:lineRule="auto"/>
              <w:ind w:left="569" w:right="28" w:hanging="526"/>
              <w:jc w:val="both"/>
              <w:rPr>
                <w:rFonts w:ascii="Times New Roman" w:hAnsi="Times New Roman"/>
                <w:sz w:val="21"/>
              </w:rPr>
            </w:pPr>
            <w:r>
              <w:rPr>
                <w:rFonts w:ascii="Times New Roman" w:hAnsi="Times New Roman"/>
                <w:sz w:val="21"/>
              </w:rPr>
              <w:t>测线束相对位置描述</w:t>
            </w:r>
          </w:p>
        </w:tc>
        <w:tc>
          <w:tcPr>
            <w:tcW w:w="1832" w:type="dxa"/>
            <w:gridSpan w:val="2"/>
            <w:vAlign w:val="center"/>
          </w:tcPr>
          <w:p w14:paraId="45A66DDC">
            <w:pPr>
              <w:pStyle w:val="234"/>
              <w:spacing w:before="111"/>
              <w:ind w:left="288"/>
              <w:jc w:val="both"/>
              <w:rPr>
                <w:rFonts w:ascii="Times New Roman" w:hAnsi="Times New Roman"/>
                <w:sz w:val="21"/>
              </w:rPr>
            </w:pPr>
            <w:r>
              <w:rPr>
                <w:rFonts w:ascii="Times New Roman" w:hAnsi="Times New Roman"/>
                <w:sz w:val="21"/>
              </w:rPr>
              <w:t>测线束起终点</w:t>
            </w:r>
          </w:p>
        </w:tc>
        <w:tc>
          <w:tcPr>
            <w:tcW w:w="1136" w:type="dxa"/>
            <w:vMerge w:val="restart"/>
            <w:vAlign w:val="center"/>
          </w:tcPr>
          <w:p w14:paraId="4F78A779">
            <w:pPr>
              <w:pStyle w:val="234"/>
              <w:spacing w:before="176"/>
              <w:ind w:left="27" w:right="4"/>
              <w:jc w:val="both"/>
              <w:rPr>
                <w:rFonts w:ascii="Times New Roman" w:hAnsi="Times New Roman"/>
                <w:sz w:val="21"/>
              </w:rPr>
            </w:pPr>
            <w:r>
              <w:rPr>
                <w:rFonts w:ascii="Times New Roman" w:hAnsi="Times New Roman"/>
                <w:sz w:val="21"/>
              </w:rPr>
              <w:t>测线束长度</w:t>
            </w:r>
          </w:p>
          <w:p w14:paraId="19D26C41">
            <w:pPr>
              <w:pStyle w:val="234"/>
              <w:spacing w:before="105"/>
              <w:ind w:left="27" w:right="2"/>
              <w:jc w:val="both"/>
              <w:rPr>
                <w:rFonts w:ascii="Times New Roman" w:hAnsi="Times New Roman"/>
                <w:sz w:val="21"/>
              </w:rPr>
            </w:pPr>
            <w:r>
              <w:rPr>
                <w:rFonts w:ascii="Times New Roman" w:hAnsi="Times New Roman"/>
                <w:sz w:val="21"/>
              </w:rPr>
              <w:t>（</w:t>
            </w:r>
            <w:r>
              <w:rPr>
                <w:rFonts w:ascii="Times New Roman" w:hAnsi="Times New Roman" w:eastAsia="Times New Roman"/>
                <w:sz w:val="21"/>
              </w:rPr>
              <w:t>m</w:t>
            </w:r>
            <w:r>
              <w:rPr>
                <w:rFonts w:ascii="Times New Roman" w:hAnsi="Times New Roman"/>
                <w:sz w:val="21"/>
              </w:rPr>
              <w:t>）</w:t>
            </w:r>
          </w:p>
        </w:tc>
        <w:tc>
          <w:tcPr>
            <w:tcW w:w="1557" w:type="dxa"/>
            <w:vMerge w:val="restart"/>
            <w:vAlign w:val="center"/>
          </w:tcPr>
          <w:p w14:paraId="2E371793">
            <w:pPr>
              <w:pStyle w:val="234"/>
              <w:spacing w:before="133"/>
              <w:ind w:left="554" w:right="528"/>
              <w:jc w:val="both"/>
              <w:rPr>
                <w:rFonts w:ascii="Times New Roman" w:hAnsi="Times New Roman"/>
                <w:sz w:val="21"/>
              </w:rPr>
            </w:pPr>
            <w:r>
              <w:rPr>
                <w:rFonts w:ascii="Times New Roman" w:hAnsi="Times New Roman"/>
                <w:sz w:val="21"/>
              </w:rPr>
              <w:t>备注</w:t>
            </w:r>
          </w:p>
        </w:tc>
      </w:tr>
      <w:tr w14:paraId="3D582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9" w:hRule="atLeast"/>
          <w:jc w:val="center"/>
        </w:trPr>
        <w:tc>
          <w:tcPr>
            <w:tcW w:w="708" w:type="dxa"/>
            <w:vMerge w:val="continue"/>
            <w:tcBorders>
              <w:top w:val="nil"/>
            </w:tcBorders>
            <w:vAlign w:val="center"/>
          </w:tcPr>
          <w:p w14:paraId="0E018904">
            <w:pPr>
              <w:rPr>
                <w:rFonts w:ascii="Times New Roman" w:hAnsi="Times New Roman"/>
                <w:sz w:val="2"/>
                <w:szCs w:val="2"/>
              </w:rPr>
            </w:pPr>
          </w:p>
        </w:tc>
        <w:tc>
          <w:tcPr>
            <w:tcW w:w="854" w:type="dxa"/>
            <w:vMerge w:val="continue"/>
            <w:tcBorders>
              <w:top w:val="nil"/>
            </w:tcBorders>
            <w:vAlign w:val="center"/>
          </w:tcPr>
          <w:p w14:paraId="5953751A">
            <w:pPr>
              <w:rPr>
                <w:rFonts w:ascii="Times New Roman" w:hAnsi="Times New Roman"/>
                <w:sz w:val="2"/>
                <w:szCs w:val="2"/>
              </w:rPr>
            </w:pPr>
          </w:p>
        </w:tc>
        <w:tc>
          <w:tcPr>
            <w:tcW w:w="1135" w:type="dxa"/>
            <w:vMerge w:val="continue"/>
            <w:tcBorders>
              <w:top w:val="nil"/>
            </w:tcBorders>
            <w:vAlign w:val="center"/>
          </w:tcPr>
          <w:p w14:paraId="47C82092">
            <w:pPr>
              <w:rPr>
                <w:rFonts w:ascii="Times New Roman" w:hAnsi="Times New Roman"/>
                <w:sz w:val="2"/>
                <w:szCs w:val="2"/>
              </w:rPr>
            </w:pPr>
          </w:p>
        </w:tc>
        <w:tc>
          <w:tcPr>
            <w:tcW w:w="1563" w:type="dxa"/>
            <w:vMerge w:val="continue"/>
            <w:tcBorders>
              <w:top w:val="nil"/>
            </w:tcBorders>
            <w:vAlign w:val="center"/>
          </w:tcPr>
          <w:p w14:paraId="397247EB">
            <w:pPr>
              <w:rPr>
                <w:rFonts w:ascii="Times New Roman" w:hAnsi="Times New Roman"/>
                <w:sz w:val="2"/>
                <w:szCs w:val="2"/>
              </w:rPr>
            </w:pPr>
          </w:p>
        </w:tc>
        <w:tc>
          <w:tcPr>
            <w:tcW w:w="987" w:type="dxa"/>
            <w:vAlign w:val="center"/>
          </w:tcPr>
          <w:p w14:paraId="07EAA1AF">
            <w:pPr>
              <w:pStyle w:val="234"/>
              <w:spacing w:before="113"/>
              <w:ind w:left="283"/>
              <w:jc w:val="both"/>
              <w:rPr>
                <w:rFonts w:ascii="Times New Roman" w:hAnsi="Times New Roman"/>
                <w:sz w:val="21"/>
              </w:rPr>
            </w:pPr>
            <w:r>
              <w:rPr>
                <w:rFonts w:ascii="Times New Roman" w:hAnsi="Times New Roman"/>
                <w:sz w:val="21"/>
              </w:rPr>
              <w:t>起点</w:t>
            </w:r>
          </w:p>
        </w:tc>
        <w:tc>
          <w:tcPr>
            <w:tcW w:w="845" w:type="dxa"/>
            <w:vAlign w:val="center"/>
          </w:tcPr>
          <w:p w14:paraId="1F0BE3A2">
            <w:pPr>
              <w:pStyle w:val="234"/>
              <w:spacing w:before="113"/>
              <w:ind w:left="216"/>
              <w:jc w:val="both"/>
              <w:rPr>
                <w:rFonts w:ascii="Times New Roman" w:hAnsi="Times New Roman"/>
                <w:sz w:val="21"/>
              </w:rPr>
            </w:pPr>
            <w:r>
              <w:rPr>
                <w:rFonts w:ascii="Times New Roman" w:hAnsi="Times New Roman"/>
                <w:sz w:val="21"/>
              </w:rPr>
              <w:t>终点</w:t>
            </w:r>
          </w:p>
        </w:tc>
        <w:tc>
          <w:tcPr>
            <w:tcW w:w="1136" w:type="dxa"/>
            <w:vMerge w:val="continue"/>
            <w:tcBorders>
              <w:top w:val="nil"/>
            </w:tcBorders>
            <w:vAlign w:val="center"/>
          </w:tcPr>
          <w:p w14:paraId="6DA28416">
            <w:pPr>
              <w:rPr>
                <w:rFonts w:ascii="Times New Roman" w:hAnsi="Times New Roman"/>
                <w:sz w:val="2"/>
                <w:szCs w:val="2"/>
              </w:rPr>
            </w:pPr>
          </w:p>
        </w:tc>
        <w:tc>
          <w:tcPr>
            <w:tcW w:w="1557" w:type="dxa"/>
            <w:vMerge w:val="continue"/>
            <w:tcBorders>
              <w:top w:val="nil"/>
            </w:tcBorders>
            <w:vAlign w:val="center"/>
          </w:tcPr>
          <w:p w14:paraId="4AC55103">
            <w:pPr>
              <w:rPr>
                <w:rFonts w:ascii="Times New Roman" w:hAnsi="Times New Roman"/>
                <w:sz w:val="2"/>
                <w:szCs w:val="2"/>
              </w:rPr>
            </w:pPr>
          </w:p>
        </w:tc>
      </w:tr>
      <w:tr w14:paraId="125E56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2626013B">
            <w:pPr>
              <w:pStyle w:val="234"/>
              <w:jc w:val="both"/>
              <w:rPr>
                <w:rFonts w:ascii="Times New Roman" w:hAnsi="Times New Roman"/>
              </w:rPr>
            </w:pPr>
          </w:p>
        </w:tc>
        <w:tc>
          <w:tcPr>
            <w:tcW w:w="854" w:type="dxa"/>
            <w:vAlign w:val="center"/>
          </w:tcPr>
          <w:p w14:paraId="400A7518">
            <w:pPr>
              <w:pStyle w:val="234"/>
              <w:jc w:val="both"/>
              <w:rPr>
                <w:rFonts w:ascii="Times New Roman" w:hAnsi="Times New Roman"/>
              </w:rPr>
            </w:pPr>
          </w:p>
        </w:tc>
        <w:tc>
          <w:tcPr>
            <w:tcW w:w="1135" w:type="dxa"/>
            <w:vAlign w:val="center"/>
          </w:tcPr>
          <w:p w14:paraId="3C57DF3B">
            <w:pPr>
              <w:pStyle w:val="234"/>
              <w:jc w:val="both"/>
              <w:rPr>
                <w:rFonts w:ascii="Times New Roman" w:hAnsi="Times New Roman"/>
              </w:rPr>
            </w:pPr>
          </w:p>
        </w:tc>
        <w:tc>
          <w:tcPr>
            <w:tcW w:w="1563" w:type="dxa"/>
            <w:vAlign w:val="center"/>
          </w:tcPr>
          <w:p w14:paraId="722A299F">
            <w:pPr>
              <w:pStyle w:val="234"/>
              <w:jc w:val="both"/>
              <w:rPr>
                <w:rFonts w:ascii="Times New Roman" w:hAnsi="Times New Roman"/>
              </w:rPr>
            </w:pPr>
          </w:p>
        </w:tc>
        <w:tc>
          <w:tcPr>
            <w:tcW w:w="987" w:type="dxa"/>
            <w:vAlign w:val="center"/>
          </w:tcPr>
          <w:p w14:paraId="21C196A0">
            <w:pPr>
              <w:pStyle w:val="234"/>
              <w:jc w:val="both"/>
              <w:rPr>
                <w:rFonts w:ascii="Times New Roman" w:hAnsi="Times New Roman"/>
              </w:rPr>
            </w:pPr>
          </w:p>
        </w:tc>
        <w:tc>
          <w:tcPr>
            <w:tcW w:w="845" w:type="dxa"/>
            <w:vAlign w:val="center"/>
          </w:tcPr>
          <w:p w14:paraId="1D15407D">
            <w:pPr>
              <w:pStyle w:val="234"/>
              <w:jc w:val="both"/>
              <w:rPr>
                <w:rFonts w:ascii="Times New Roman" w:hAnsi="Times New Roman"/>
              </w:rPr>
            </w:pPr>
          </w:p>
        </w:tc>
        <w:tc>
          <w:tcPr>
            <w:tcW w:w="1136" w:type="dxa"/>
            <w:vAlign w:val="center"/>
          </w:tcPr>
          <w:p w14:paraId="07DD6336">
            <w:pPr>
              <w:pStyle w:val="234"/>
              <w:jc w:val="both"/>
              <w:rPr>
                <w:rFonts w:ascii="Times New Roman" w:hAnsi="Times New Roman"/>
              </w:rPr>
            </w:pPr>
          </w:p>
        </w:tc>
        <w:tc>
          <w:tcPr>
            <w:tcW w:w="1557" w:type="dxa"/>
            <w:vAlign w:val="center"/>
          </w:tcPr>
          <w:p w14:paraId="3DF17621">
            <w:pPr>
              <w:pStyle w:val="234"/>
              <w:jc w:val="both"/>
              <w:rPr>
                <w:rFonts w:ascii="Times New Roman" w:hAnsi="Times New Roman"/>
              </w:rPr>
            </w:pPr>
          </w:p>
        </w:tc>
      </w:tr>
      <w:tr w14:paraId="569BE7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2294CBD2">
            <w:pPr>
              <w:pStyle w:val="234"/>
              <w:jc w:val="both"/>
              <w:rPr>
                <w:rFonts w:ascii="Times New Roman" w:hAnsi="Times New Roman"/>
              </w:rPr>
            </w:pPr>
          </w:p>
        </w:tc>
        <w:tc>
          <w:tcPr>
            <w:tcW w:w="854" w:type="dxa"/>
            <w:vAlign w:val="center"/>
          </w:tcPr>
          <w:p w14:paraId="51F47512">
            <w:pPr>
              <w:pStyle w:val="234"/>
              <w:jc w:val="both"/>
              <w:rPr>
                <w:rFonts w:ascii="Times New Roman" w:hAnsi="Times New Roman"/>
              </w:rPr>
            </w:pPr>
          </w:p>
        </w:tc>
        <w:tc>
          <w:tcPr>
            <w:tcW w:w="1135" w:type="dxa"/>
            <w:vAlign w:val="center"/>
          </w:tcPr>
          <w:p w14:paraId="461F0DE2">
            <w:pPr>
              <w:pStyle w:val="234"/>
              <w:jc w:val="both"/>
              <w:rPr>
                <w:rFonts w:ascii="Times New Roman" w:hAnsi="Times New Roman"/>
              </w:rPr>
            </w:pPr>
          </w:p>
        </w:tc>
        <w:tc>
          <w:tcPr>
            <w:tcW w:w="1563" w:type="dxa"/>
            <w:vAlign w:val="center"/>
          </w:tcPr>
          <w:p w14:paraId="3245C7D4">
            <w:pPr>
              <w:pStyle w:val="234"/>
              <w:jc w:val="both"/>
              <w:rPr>
                <w:rFonts w:ascii="Times New Roman" w:hAnsi="Times New Roman"/>
              </w:rPr>
            </w:pPr>
          </w:p>
        </w:tc>
        <w:tc>
          <w:tcPr>
            <w:tcW w:w="987" w:type="dxa"/>
            <w:vAlign w:val="center"/>
          </w:tcPr>
          <w:p w14:paraId="4D673EA6">
            <w:pPr>
              <w:pStyle w:val="234"/>
              <w:jc w:val="both"/>
              <w:rPr>
                <w:rFonts w:ascii="Times New Roman" w:hAnsi="Times New Roman"/>
              </w:rPr>
            </w:pPr>
          </w:p>
        </w:tc>
        <w:tc>
          <w:tcPr>
            <w:tcW w:w="845" w:type="dxa"/>
            <w:vAlign w:val="center"/>
          </w:tcPr>
          <w:p w14:paraId="40741C50">
            <w:pPr>
              <w:pStyle w:val="234"/>
              <w:jc w:val="both"/>
              <w:rPr>
                <w:rFonts w:ascii="Times New Roman" w:hAnsi="Times New Roman"/>
              </w:rPr>
            </w:pPr>
          </w:p>
        </w:tc>
        <w:tc>
          <w:tcPr>
            <w:tcW w:w="1136" w:type="dxa"/>
            <w:vAlign w:val="center"/>
          </w:tcPr>
          <w:p w14:paraId="70D6922F">
            <w:pPr>
              <w:pStyle w:val="234"/>
              <w:jc w:val="both"/>
              <w:rPr>
                <w:rFonts w:ascii="Times New Roman" w:hAnsi="Times New Roman"/>
              </w:rPr>
            </w:pPr>
          </w:p>
        </w:tc>
        <w:tc>
          <w:tcPr>
            <w:tcW w:w="1557" w:type="dxa"/>
            <w:vAlign w:val="center"/>
          </w:tcPr>
          <w:p w14:paraId="03540325">
            <w:pPr>
              <w:pStyle w:val="234"/>
              <w:jc w:val="both"/>
              <w:rPr>
                <w:rFonts w:ascii="Times New Roman" w:hAnsi="Times New Roman"/>
              </w:rPr>
            </w:pPr>
          </w:p>
        </w:tc>
      </w:tr>
      <w:tr w14:paraId="393D4D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34AB5CAE">
            <w:pPr>
              <w:pStyle w:val="234"/>
              <w:jc w:val="both"/>
              <w:rPr>
                <w:rFonts w:ascii="Times New Roman" w:hAnsi="Times New Roman"/>
              </w:rPr>
            </w:pPr>
          </w:p>
        </w:tc>
        <w:tc>
          <w:tcPr>
            <w:tcW w:w="854" w:type="dxa"/>
            <w:vAlign w:val="center"/>
          </w:tcPr>
          <w:p w14:paraId="6485FA28">
            <w:pPr>
              <w:pStyle w:val="234"/>
              <w:jc w:val="both"/>
              <w:rPr>
                <w:rFonts w:ascii="Times New Roman" w:hAnsi="Times New Roman"/>
              </w:rPr>
            </w:pPr>
          </w:p>
        </w:tc>
        <w:tc>
          <w:tcPr>
            <w:tcW w:w="1135" w:type="dxa"/>
            <w:vAlign w:val="center"/>
          </w:tcPr>
          <w:p w14:paraId="244BF721">
            <w:pPr>
              <w:pStyle w:val="234"/>
              <w:jc w:val="both"/>
              <w:rPr>
                <w:rFonts w:ascii="Times New Roman" w:hAnsi="Times New Roman"/>
              </w:rPr>
            </w:pPr>
          </w:p>
        </w:tc>
        <w:tc>
          <w:tcPr>
            <w:tcW w:w="1563" w:type="dxa"/>
            <w:vAlign w:val="center"/>
          </w:tcPr>
          <w:p w14:paraId="272DC9A8">
            <w:pPr>
              <w:pStyle w:val="234"/>
              <w:jc w:val="both"/>
              <w:rPr>
                <w:rFonts w:ascii="Times New Roman" w:hAnsi="Times New Roman"/>
              </w:rPr>
            </w:pPr>
          </w:p>
        </w:tc>
        <w:tc>
          <w:tcPr>
            <w:tcW w:w="987" w:type="dxa"/>
            <w:vAlign w:val="center"/>
          </w:tcPr>
          <w:p w14:paraId="42C4021B">
            <w:pPr>
              <w:pStyle w:val="234"/>
              <w:jc w:val="both"/>
              <w:rPr>
                <w:rFonts w:ascii="Times New Roman" w:hAnsi="Times New Roman"/>
              </w:rPr>
            </w:pPr>
          </w:p>
        </w:tc>
        <w:tc>
          <w:tcPr>
            <w:tcW w:w="845" w:type="dxa"/>
            <w:vAlign w:val="center"/>
          </w:tcPr>
          <w:p w14:paraId="16723657">
            <w:pPr>
              <w:pStyle w:val="234"/>
              <w:jc w:val="both"/>
              <w:rPr>
                <w:rFonts w:ascii="Times New Roman" w:hAnsi="Times New Roman"/>
              </w:rPr>
            </w:pPr>
          </w:p>
        </w:tc>
        <w:tc>
          <w:tcPr>
            <w:tcW w:w="1136" w:type="dxa"/>
            <w:vAlign w:val="center"/>
          </w:tcPr>
          <w:p w14:paraId="4DB1DEF9">
            <w:pPr>
              <w:pStyle w:val="234"/>
              <w:jc w:val="both"/>
              <w:rPr>
                <w:rFonts w:ascii="Times New Roman" w:hAnsi="Times New Roman"/>
              </w:rPr>
            </w:pPr>
          </w:p>
        </w:tc>
        <w:tc>
          <w:tcPr>
            <w:tcW w:w="1557" w:type="dxa"/>
            <w:vAlign w:val="center"/>
          </w:tcPr>
          <w:p w14:paraId="20EFE71E">
            <w:pPr>
              <w:pStyle w:val="234"/>
              <w:jc w:val="both"/>
              <w:rPr>
                <w:rFonts w:ascii="Times New Roman" w:hAnsi="Times New Roman"/>
              </w:rPr>
            </w:pPr>
          </w:p>
        </w:tc>
      </w:tr>
      <w:tr w14:paraId="095FFC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1A0764C7">
            <w:pPr>
              <w:pStyle w:val="234"/>
              <w:jc w:val="both"/>
              <w:rPr>
                <w:rFonts w:ascii="Times New Roman" w:hAnsi="Times New Roman"/>
              </w:rPr>
            </w:pPr>
          </w:p>
        </w:tc>
        <w:tc>
          <w:tcPr>
            <w:tcW w:w="854" w:type="dxa"/>
            <w:vAlign w:val="center"/>
          </w:tcPr>
          <w:p w14:paraId="0BF23B3B">
            <w:pPr>
              <w:pStyle w:val="234"/>
              <w:jc w:val="both"/>
              <w:rPr>
                <w:rFonts w:ascii="Times New Roman" w:hAnsi="Times New Roman"/>
              </w:rPr>
            </w:pPr>
          </w:p>
        </w:tc>
        <w:tc>
          <w:tcPr>
            <w:tcW w:w="1135" w:type="dxa"/>
            <w:vAlign w:val="center"/>
          </w:tcPr>
          <w:p w14:paraId="69D7CBA6">
            <w:pPr>
              <w:pStyle w:val="234"/>
              <w:jc w:val="both"/>
              <w:rPr>
                <w:rFonts w:ascii="Times New Roman" w:hAnsi="Times New Roman"/>
              </w:rPr>
            </w:pPr>
          </w:p>
        </w:tc>
        <w:tc>
          <w:tcPr>
            <w:tcW w:w="1563" w:type="dxa"/>
            <w:vAlign w:val="center"/>
          </w:tcPr>
          <w:p w14:paraId="269BA207">
            <w:pPr>
              <w:pStyle w:val="234"/>
              <w:jc w:val="both"/>
              <w:rPr>
                <w:rFonts w:ascii="Times New Roman" w:hAnsi="Times New Roman"/>
              </w:rPr>
            </w:pPr>
          </w:p>
        </w:tc>
        <w:tc>
          <w:tcPr>
            <w:tcW w:w="987" w:type="dxa"/>
            <w:vAlign w:val="center"/>
          </w:tcPr>
          <w:p w14:paraId="7BB240EC">
            <w:pPr>
              <w:pStyle w:val="234"/>
              <w:jc w:val="both"/>
              <w:rPr>
                <w:rFonts w:ascii="Times New Roman" w:hAnsi="Times New Roman"/>
              </w:rPr>
            </w:pPr>
          </w:p>
        </w:tc>
        <w:tc>
          <w:tcPr>
            <w:tcW w:w="845" w:type="dxa"/>
            <w:vAlign w:val="center"/>
          </w:tcPr>
          <w:p w14:paraId="471D4617">
            <w:pPr>
              <w:pStyle w:val="234"/>
              <w:jc w:val="both"/>
              <w:rPr>
                <w:rFonts w:ascii="Times New Roman" w:hAnsi="Times New Roman"/>
              </w:rPr>
            </w:pPr>
          </w:p>
        </w:tc>
        <w:tc>
          <w:tcPr>
            <w:tcW w:w="1136" w:type="dxa"/>
            <w:vAlign w:val="center"/>
          </w:tcPr>
          <w:p w14:paraId="746CDF81">
            <w:pPr>
              <w:pStyle w:val="234"/>
              <w:jc w:val="both"/>
              <w:rPr>
                <w:rFonts w:ascii="Times New Roman" w:hAnsi="Times New Roman"/>
              </w:rPr>
            </w:pPr>
          </w:p>
        </w:tc>
        <w:tc>
          <w:tcPr>
            <w:tcW w:w="1557" w:type="dxa"/>
            <w:vAlign w:val="center"/>
          </w:tcPr>
          <w:p w14:paraId="6A9ED526">
            <w:pPr>
              <w:pStyle w:val="234"/>
              <w:jc w:val="both"/>
              <w:rPr>
                <w:rFonts w:ascii="Times New Roman" w:hAnsi="Times New Roman"/>
              </w:rPr>
            </w:pPr>
          </w:p>
        </w:tc>
      </w:tr>
      <w:tr w14:paraId="66FAF0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35146410">
            <w:pPr>
              <w:pStyle w:val="234"/>
              <w:jc w:val="both"/>
              <w:rPr>
                <w:rFonts w:ascii="Times New Roman" w:hAnsi="Times New Roman"/>
              </w:rPr>
            </w:pPr>
          </w:p>
        </w:tc>
        <w:tc>
          <w:tcPr>
            <w:tcW w:w="854" w:type="dxa"/>
            <w:vAlign w:val="center"/>
          </w:tcPr>
          <w:p w14:paraId="5ED2A8EE">
            <w:pPr>
              <w:pStyle w:val="234"/>
              <w:jc w:val="both"/>
              <w:rPr>
                <w:rFonts w:ascii="Times New Roman" w:hAnsi="Times New Roman"/>
              </w:rPr>
            </w:pPr>
          </w:p>
        </w:tc>
        <w:tc>
          <w:tcPr>
            <w:tcW w:w="1135" w:type="dxa"/>
            <w:vAlign w:val="center"/>
          </w:tcPr>
          <w:p w14:paraId="76CFDF11">
            <w:pPr>
              <w:pStyle w:val="234"/>
              <w:jc w:val="both"/>
              <w:rPr>
                <w:rFonts w:ascii="Times New Roman" w:hAnsi="Times New Roman"/>
              </w:rPr>
            </w:pPr>
          </w:p>
        </w:tc>
        <w:tc>
          <w:tcPr>
            <w:tcW w:w="1563" w:type="dxa"/>
            <w:vAlign w:val="center"/>
          </w:tcPr>
          <w:p w14:paraId="729C0175">
            <w:pPr>
              <w:pStyle w:val="234"/>
              <w:jc w:val="both"/>
              <w:rPr>
                <w:rFonts w:ascii="Times New Roman" w:hAnsi="Times New Roman"/>
              </w:rPr>
            </w:pPr>
          </w:p>
        </w:tc>
        <w:tc>
          <w:tcPr>
            <w:tcW w:w="987" w:type="dxa"/>
            <w:vAlign w:val="center"/>
          </w:tcPr>
          <w:p w14:paraId="40069523">
            <w:pPr>
              <w:pStyle w:val="234"/>
              <w:jc w:val="both"/>
              <w:rPr>
                <w:rFonts w:ascii="Times New Roman" w:hAnsi="Times New Roman"/>
              </w:rPr>
            </w:pPr>
          </w:p>
        </w:tc>
        <w:tc>
          <w:tcPr>
            <w:tcW w:w="845" w:type="dxa"/>
            <w:vAlign w:val="center"/>
          </w:tcPr>
          <w:p w14:paraId="3D87478F">
            <w:pPr>
              <w:pStyle w:val="234"/>
              <w:jc w:val="both"/>
              <w:rPr>
                <w:rFonts w:ascii="Times New Roman" w:hAnsi="Times New Roman"/>
              </w:rPr>
            </w:pPr>
          </w:p>
        </w:tc>
        <w:tc>
          <w:tcPr>
            <w:tcW w:w="1136" w:type="dxa"/>
            <w:vAlign w:val="center"/>
          </w:tcPr>
          <w:p w14:paraId="72C672D9">
            <w:pPr>
              <w:pStyle w:val="234"/>
              <w:jc w:val="both"/>
              <w:rPr>
                <w:rFonts w:ascii="Times New Roman" w:hAnsi="Times New Roman"/>
              </w:rPr>
            </w:pPr>
          </w:p>
        </w:tc>
        <w:tc>
          <w:tcPr>
            <w:tcW w:w="1557" w:type="dxa"/>
            <w:vAlign w:val="center"/>
          </w:tcPr>
          <w:p w14:paraId="2BD1295C">
            <w:pPr>
              <w:pStyle w:val="234"/>
              <w:jc w:val="both"/>
              <w:rPr>
                <w:rFonts w:ascii="Times New Roman" w:hAnsi="Times New Roman"/>
              </w:rPr>
            </w:pPr>
          </w:p>
        </w:tc>
      </w:tr>
      <w:tr w14:paraId="5F8CDD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43213BCB">
            <w:pPr>
              <w:pStyle w:val="234"/>
              <w:jc w:val="both"/>
              <w:rPr>
                <w:rFonts w:ascii="Times New Roman" w:hAnsi="Times New Roman"/>
              </w:rPr>
            </w:pPr>
          </w:p>
        </w:tc>
        <w:tc>
          <w:tcPr>
            <w:tcW w:w="854" w:type="dxa"/>
            <w:vAlign w:val="center"/>
          </w:tcPr>
          <w:p w14:paraId="70EE8829">
            <w:pPr>
              <w:pStyle w:val="234"/>
              <w:jc w:val="both"/>
              <w:rPr>
                <w:rFonts w:ascii="Times New Roman" w:hAnsi="Times New Roman"/>
              </w:rPr>
            </w:pPr>
          </w:p>
        </w:tc>
        <w:tc>
          <w:tcPr>
            <w:tcW w:w="1135" w:type="dxa"/>
            <w:vAlign w:val="center"/>
          </w:tcPr>
          <w:p w14:paraId="118A2CAA">
            <w:pPr>
              <w:pStyle w:val="234"/>
              <w:jc w:val="both"/>
              <w:rPr>
                <w:rFonts w:ascii="Times New Roman" w:hAnsi="Times New Roman"/>
              </w:rPr>
            </w:pPr>
          </w:p>
        </w:tc>
        <w:tc>
          <w:tcPr>
            <w:tcW w:w="1563" w:type="dxa"/>
            <w:vAlign w:val="center"/>
          </w:tcPr>
          <w:p w14:paraId="75AD4049">
            <w:pPr>
              <w:pStyle w:val="234"/>
              <w:jc w:val="both"/>
              <w:rPr>
                <w:rFonts w:ascii="Times New Roman" w:hAnsi="Times New Roman"/>
              </w:rPr>
            </w:pPr>
          </w:p>
        </w:tc>
        <w:tc>
          <w:tcPr>
            <w:tcW w:w="987" w:type="dxa"/>
            <w:vAlign w:val="center"/>
          </w:tcPr>
          <w:p w14:paraId="124CA4FE">
            <w:pPr>
              <w:pStyle w:val="234"/>
              <w:jc w:val="both"/>
              <w:rPr>
                <w:rFonts w:ascii="Times New Roman" w:hAnsi="Times New Roman"/>
              </w:rPr>
            </w:pPr>
          </w:p>
        </w:tc>
        <w:tc>
          <w:tcPr>
            <w:tcW w:w="845" w:type="dxa"/>
            <w:vAlign w:val="center"/>
          </w:tcPr>
          <w:p w14:paraId="7103F16E">
            <w:pPr>
              <w:pStyle w:val="234"/>
              <w:jc w:val="both"/>
              <w:rPr>
                <w:rFonts w:ascii="Times New Roman" w:hAnsi="Times New Roman"/>
              </w:rPr>
            </w:pPr>
          </w:p>
        </w:tc>
        <w:tc>
          <w:tcPr>
            <w:tcW w:w="1136" w:type="dxa"/>
            <w:vAlign w:val="center"/>
          </w:tcPr>
          <w:p w14:paraId="54C63F03">
            <w:pPr>
              <w:pStyle w:val="234"/>
              <w:jc w:val="both"/>
              <w:rPr>
                <w:rFonts w:ascii="Times New Roman" w:hAnsi="Times New Roman"/>
              </w:rPr>
            </w:pPr>
          </w:p>
        </w:tc>
        <w:tc>
          <w:tcPr>
            <w:tcW w:w="1557" w:type="dxa"/>
            <w:vAlign w:val="center"/>
          </w:tcPr>
          <w:p w14:paraId="02F2E29B">
            <w:pPr>
              <w:pStyle w:val="234"/>
              <w:jc w:val="both"/>
              <w:rPr>
                <w:rFonts w:ascii="Times New Roman" w:hAnsi="Times New Roman"/>
              </w:rPr>
            </w:pPr>
          </w:p>
        </w:tc>
      </w:tr>
      <w:tr w14:paraId="680FA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3BBCE471">
            <w:pPr>
              <w:pStyle w:val="234"/>
              <w:jc w:val="both"/>
              <w:rPr>
                <w:rFonts w:ascii="Times New Roman" w:hAnsi="Times New Roman"/>
              </w:rPr>
            </w:pPr>
          </w:p>
        </w:tc>
        <w:tc>
          <w:tcPr>
            <w:tcW w:w="854" w:type="dxa"/>
            <w:vAlign w:val="center"/>
          </w:tcPr>
          <w:p w14:paraId="01E11FB8">
            <w:pPr>
              <w:pStyle w:val="234"/>
              <w:jc w:val="both"/>
              <w:rPr>
                <w:rFonts w:ascii="Times New Roman" w:hAnsi="Times New Roman"/>
              </w:rPr>
            </w:pPr>
          </w:p>
        </w:tc>
        <w:tc>
          <w:tcPr>
            <w:tcW w:w="1135" w:type="dxa"/>
            <w:vAlign w:val="center"/>
          </w:tcPr>
          <w:p w14:paraId="5B617DF3">
            <w:pPr>
              <w:pStyle w:val="234"/>
              <w:jc w:val="both"/>
              <w:rPr>
                <w:rFonts w:ascii="Times New Roman" w:hAnsi="Times New Roman"/>
              </w:rPr>
            </w:pPr>
          </w:p>
        </w:tc>
        <w:tc>
          <w:tcPr>
            <w:tcW w:w="1563" w:type="dxa"/>
            <w:vAlign w:val="center"/>
          </w:tcPr>
          <w:p w14:paraId="4735B14A">
            <w:pPr>
              <w:pStyle w:val="234"/>
              <w:jc w:val="both"/>
              <w:rPr>
                <w:rFonts w:ascii="Times New Roman" w:hAnsi="Times New Roman"/>
              </w:rPr>
            </w:pPr>
          </w:p>
        </w:tc>
        <w:tc>
          <w:tcPr>
            <w:tcW w:w="987" w:type="dxa"/>
            <w:vAlign w:val="center"/>
          </w:tcPr>
          <w:p w14:paraId="06CB710F">
            <w:pPr>
              <w:pStyle w:val="234"/>
              <w:jc w:val="both"/>
              <w:rPr>
                <w:rFonts w:ascii="Times New Roman" w:hAnsi="Times New Roman"/>
              </w:rPr>
            </w:pPr>
          </w:p>
        </w:tc>
        <w:tc>
          <w:tcPr>
            <w:tcW w:w="845" w:type="dxa"/>
            <w:vAlign w:val="center"/>
          </w:tcPr>
          <w:p w14:paraId="6A491D01">
            <w:pPr>
              <w:pStyle w:val="234"/>
              <w:jc w:val="both"/>
              <w:rPr>
                <w:rFonts w:ascii="Times New Roman" w:hAnsi="Times New Roman"/>
              </w:rPr>
            </w:pPr>
          </w:p>
        </w:tc>
        <w:tc>
          <w:tcPr>
            <w:tcW w:w="1136" w:type="dxa"/>
            <w:vAlign w:val="center"/>
          </w:tcPr>
          <w:p w14:paraId="1DE368C5">
            <w:pPr>
              <w:pStyle w:val="234"/>
              <w:jc w:val="both"/>
              <w:rPr>
                <w:rFonts w:ascii="Times New Roman" w:hAnsi="Times New Roman"/>
              </w:rPr>
            </w:pPr>
          </w:p>
        </w:tc>
        <w:tc>
          <w:tcPr>
            <w:tcW w:w="1557" w:type="dxa"/>
            <w:vAlign w:val="center"/>
          </w:tcPr>
          <w:p w14:paraId="161E0795">
            <w:pPr>
              <w:pStyle w:val="234"/>
              <w:jc w:val="both"/>
              <w:rPr>
                <w:rFonts w:ascii="Times New Roman" w:hAnsi="Times New Roman"/>
              </w:rPr>
            </w:pPr>
          </w:p>
        </w:tc>
      </w:tr>
      <w:tr w14:paraId="6F6694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jc w:val="center"/>
        </w:trPr>
        <w:tc>
          <w:tcPr>
            <w:tcW w:w="708" w:type="dxa"/>
            <w:vAlign w:val="center"/>
          </w:tcPr>
          <w:p w14:paraId="142B4EE5">
            <w:pPr>
              <w:pStyle w:val="234"/>
              <w:jc w:val="both"/>
              <w:rPr>
                <w:rFonts w:ascii="Times New Roman" w:hAnsi="Times New Roman"/>
              </w:rPr>
            </w:pPr>
          </w:p>
        </w:tc>
        <w:tc>
          <w:tcPr>
            <w:tcW w:w="854" w:type="dxa"/>
            <w:vAlign w:val="center"/>
          </w:tcPr>
          <w:p w14:paraId="1E91F81B">
            <w:pPr>
              <w:pStyle w:val="234"/>
              <w:jc w:val="both"/>
              <w:rPr>
                <w:rFonts w:ascii="Times New Roman" w:hAnsi="Times New Roman"/>
              </w:rPr>
            </w:pPr>
          </w:p>
        </w:tc>
        <w:tc>
          <w:tcPr>
            <w:tcW w:w="1135" w:type="dxa"/>
            <w:vAlign w:val="center"/>
          </w:tcPr>
          <w:p w14:paraId="2BF49390">
            <w:pPr>
              <w:pStyle w:val="234"/>
              <w:jc w:val="both"/>
              <w:rPr>
                <w:rFonts w:ascii="Times New Roman" w:hAnsi="Times New Roman"/>
              </w:rPr>
            </w:pPr>
          </w:p>
        </w:tc>
        <w:tc>
          <w:tcPr>
            <w:tcW w:w="1563" w:type="dxa"/>
            <w:vAlign w:val="center"/>
          </w:tcPr>
          <w:p w14:paraId="2A8E6969">
            <w:pPr>
              <w:pStyle w:val="234"/>
              <w:jc w:val="both"/>
              <w:rPr>
                <w:rFonts w:ascii="Times New Roman" w:hAnsi="Times New Roman"/>
              </w:rPr>
            </w:pPr>
          </w:p>
        </w:tc>
        <w:tc>
          <w:tcPr>
            <w:tcW w:w="987" w:type="dxa"/>
            <w:vAlign w:val="center"/>
          </w:tcPr>
          <w:p w14:paraId="1D1E26BA">
            <w:pPr>
              <w:pStyle w:val="234"/>
              <w:jc w:val="both"/>
              <w:rPr>
                <w:rFonts w:ascii="Times New Roman" w:hAnsi="Times New Roman"/>
              </w:rPr>
            </w:pPr>
          </w:p>
        </w:tc>
        <w:tc>
          <w:tcPr>
            <w:tcW w:w="845" w:type="dxa"/>
            <w:vAlign w:val="center"/>
          </w:tcPr>
          <w:p w14:paraId="2BB710E0">
            <w:pPr>
              <w:pStyle w:val="234"/>
              <w:jc w:val="both"/>
              <w:rPr>
                <w:rFonts w:ascii="Times New Roman" w:hAnsi="Times New Roman"/>
              </w:rPr>
            </w:pPr>
          </w:p>
        </w:tc>
        <w:tc>
          <w:tcPr>
            <w:tcW w:w="1136" w:type="dxa"/>
            <w:vAlign w:val="center"/>
          </w:tcPr>
          <w:p w14:paraId="39D2AC15">
            <w:pPr>
              <w:pStyle w:val="234"/>
              <w:jc w:val="both"/>
              <w:rPr>
                <w:rFonts w:ascii="Times New Roman" w:hAnsi="Times New Roman"/>
              </w:rPr>
            </w:pPr>
          </w:p>
        </w:tc>
        <w:tc>
          <w:tcPr>
            <w:tcW w:w="1557" w:type="dxa"/>
            <w:vAlign w:val="center"/>
          </w:tcPr>
          <w:p w14:paraId="036B63B8">
            <w:pPr>
              <w:pStyle w:val="234"/>
              <w:jc w:val="both"/>
              <w:rPr>
                <w:rFonts w:ascii="Times New Roman" w:hAnsi="Times New Roman"/>
              </w:rPr>
            </w:pPr>
          </w:p>
        </w:tc>
      </w:tr>
      <w:tr w14:paraId="55B431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180B8DE1">
            <w:pPr>
              <w:pStyle w:val="234"/>
              <w:jc w:val="both"/>
              <w:rPr>
                <w:rFonts w:ascii="Times New Roman" w:hAnsi="Times New Roman"/>
              </w:rPr>
            </w:pPr>
          </w:p>
        </w:tc>
        <w:tc>
          <w:tcPr>
            <w:tcW w:w="854" w:type="dxa"/>
            <w:vAlign w:val="center"/>
          </w:tcPr>
          <w:p w14:paraId="326E3796">
            <w:pPr>
              <w:pStyle w:val="234"/>
              <w:jc w:val="both"/>
              <w:rPr>
                <w:rFonts w:ascii="Times New Roman" w:hAnsi="Times New Roman"/>
              </w:rPr>
            </w:pPr>
          </w:p>
        </w:tc>
        <w:tc>
          <w:tcPr>
            <w:tcW w:w="1135" w:type="dxa"/>
            <w:vAlign w:val="center"/>
          </w:tcPr>
          <w:p w14:paraId="59338B78">
            <w:pPr>
              <w:pStyle w:val="234"/>
              <w:jc w:val="both"/>
              <w:rPr>
                <w:rFonts w:ascii="Times New Roman" w:hAnsi="Times New Roman"/>
              </w:rPr>
            </w:pPr>
          </w:p>
        </w:tc>
        <w:tc>
          <w:tcPr>
            <w:tcW w:w="1563" w:type="dxa"/>
            <w:vAlign w:val="center"/>
          </w:tcPr>
          <w:p w14:paraId="70F88280">
            <w:pPr>
              <w:pStyle w:val="234"/>
              <w:jc w:val="both"/>
              <w:rPr>
                <w:rFonts w:ascii="Times New Roman" w:hAnsi="Times New Roman"/>
              </w:rPr>
            </w:pPr>
          </w:p>
        </w:tc>
        <w:tc>
          <w:tcPr>
            <w:tcW w:w="987" w:type="dxa"/>
            <w:vAlign w:val="center"/>
          </w:tcPr>
          <w:p w14:paraId="2DBF900A">
            <w:pPr>
              <w:pStyle w:val="234"/>
              <w:jc w:val="both"/>
              <w:rPr>
                <w:rFonts w:ascii="Times New Roman" w:hAnsi="Times New Roman"/>
              </w:rPr>
            </w:pPr>
          </w:p>
        </w:tc>
        <w:tc>
          <w:tcPr>
            <w:tcW w:w="845" w:type="dxa"/>
            <w:vAlign w:val="center"/>
          </w:tcPr>
          <w:p w14:paraId="183BCBAA">
            <w:pPr>
              <w:pStyle w:val="234"/>
              <w:jc w:val="both"/>
              <w:rPr>
                <w:rFonts w:ascii="Times New Roman" w:hAnsi="Times New Roman"/>
              </w:rPr>
            </w:pPr>
          </w:p>
        </w:tc>
        <w:tc>
          <w:tcPr>
            <w:tcW w:w="1136" w:type="dxa"/>
            <w:vAlign w:val="center"/>
          </w:tcPr>
          <w:p w14:paraId="763871EA">
            <w:pPr>
              <w:pStyle w:val="234"/>
              <w:jc w:val="both"/>
              <w:rPr>
                <w:rFonts w:ascii="Times New Roman" w:hAnsi="Times New Roman"/>
              </w:rPr>
            </w:pPr>
          </w:p>
        </w:tc>
        <w:tc>
          <w:tcPr>
            <w:tcW w:w="1557" w:type="dxa"/>
            <w:vAlign w:val="center"/>
          </w:tcPr>
          <w:p w14:paraId="4E856CAE">
            <w:pPr>
              <w:pStyle w:val="234"/>
              <w:jc w:val="both"/>
              <w:rPr>
                <w:rFonts w:ascii="Times New Roman" w:hAnsi="Times New Roman"/>
              </w:rPr>
            </w:pPr>
          </w:p>
        </w:tc>
      </w:tr>
      <w:tr w14:paraId="22BEDA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jc w:val="center"/>
        </w:trPr>
        <w:tc>
          <w:tcPr>
            <w:tcW w:w="708" w:type="dxa"/>
            <w:vAlign w:val="center"/>
          </w:tcPr>
          <w:p w14:paraId="307A1F16">
            <w:pPr>
              <w:pStyle w:val="234"/>
              <w:jc w:val="both"/>
              <w:rPr>
                <w:rFonts w:ascii="Times New Roman" w:hAnsi="Times New Roman"/>
              </w:rPr>
            </w:pPr>
          </w:p>
        </w:tc>
        <w:tc>
          <w:tcPr>
            <w:tcW w:w="854" w:type="dxa"/>
            <w:vAlign w:val="center"/>
          </w:tcPr>
          <w:p w14:paraId="2A4CBB90">
            <w:pPr>
              <w:pStyle w:val="234"/>
              <w:jc w:val="both"/>
              <w:rPr>
                <w:rFonts w:ascii="Times New Roman" w:hAnsi="Times New Roman"/>
              </w:rPr>
            </w:pPr>
          </w:p>
        </w:tc>
        <w:tc>
          <w:tcPr>
            <w:tcW w:w="1135" w:type="dxa"/>
            <w:vAlign w:val="center"/>
          </w:tcPr>
          <w:p w14:paraId="2EDB4E3E">
            <w:pPr>
              <w:pStyle w:val="234"/>
              <w:jc w:val="both"/>
              <w:rPr>
                <w:rFonts w:ascii="Times New Roman" w:hAnsi="Times New Roman"/>
              </w:rPr>
            </w:pPr>
          </w:p>
        </w:tc>
        <w:tc>
          <w:tcPr>
            <w:tcW w:w="1563" w:type="dxa"/>
            <w:vAlign w:val="center"/>
          </w:tcPr>
          <w:p w14:paraId="3A9C8F03">
            <w:pPr>
              <w:pStyle w:val="234"/>
              <w:jc w:val="both"/>
              <w:rPr>
                <w:rFonts w:ascii="Times New Roman" w:hAnsi="Times New Roman"/>
              </w:rPr>
            </w:pPr>
          </w:p>
        </w:tc>
        <w:tc>
          <w:tcPr>
            <w:tcW w:w="987" w:type="dxa"/>
            <w:vAlign w:val="center"/>
          </w:tcPr>
          <w:p w14:paraId="482C0681">
            <w:pPr>
              <w:pStyle w:val="234"/>
              <w:jc w:val="both"/>
              <w:rPr>
                <w:rFonts w:ascii="Times New Roman" w:hAnsi="Times New Roman"/>
              </w:rPr>
            </w:pPr>
          </w:p>
        </w:tc>
        <w:tc>
          <w:tcPr>
            <w:tcW w:w="845" w:type="dxa"/>
            <w:vAlign w:val="center"/>
          </w:tcPr>
          <w:p w14:paraId="363FFA9B">
            <w:pPr>
              <w:pStyle w:val="234"/>
              <w:jc w:val="both"/>
              <w:rPr>
                <w:rFonts w:ascii="Times New Roman" w:hAnsi="Times New Roman"/>
              </w:rPr>
            </w:pPr>
          </w:p>
        </w:tc>
        <w:tc>
          <w:tcPr>
            <w:tcW w:w="1136" w:type="dxa"/>
            <w:vAlign w:val="center"/>
          </w:tcPr>
          <w:p w14:paraId="2CE06386">
            <w:pPr>
              <w:pStyle w:val="234"/>
              <w:jc w:val="both"/>
              <w:rPr>
                <w:rFonts w:ascii="Times New Roman" w:hAnsi="Times New Roman"/>
              </w:rPr>
            </w:pPr>
          </w:p>
        </w:tc>
        <w:tc>
          <w:tcPr>
            <w:tcW w:w="1557" w:type="dxa"/>
            <w:vAlign w:val="center"/>
          </w:tcPr>
          <w:p w14:paraId="3360C2DD">
            <w:pPr>
              <w:pStyle w:val="234"/>
              <w:jc w:val="both"/>
              <w:rPr>
                <w:rFonts w:ascii="Times New Roman" w:hAnsi="Times New Roman"/>
              </w:rPr>
            </w:pPr>
          </w:p>
        </w:tc>
      </w:tr>
      <w:tr w14:paraId="515AB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739A019B">
            <w:pPr>
              <w:pStyle w:val="234"/>
              <w:jc w:val="both"/>
              <w:rPr>
                <w:rFonts w:ascii="Times New Roman" w:hAnsi="Times New Roman"/>
              </w:rPr>
            </w:pPr>
          </w:p>
        </w:tc>
        <w:tc>
          <w:tcPr>
            <w:tcW w:w="854" w:type="dxa"/>
            <w:vAlign w:val="center"/>
          </w:tcPr>
          <w:p w14:paraId="6AA59C88">
            <w:pPr>
              <w:pStyle w:val="234"/>
              <w:jc w:val="both"/>
              <w:rPr>
                <w:rFonts w:ascii="Times New Roman" w:hAnsi="Times New Roman"/>
              </w:rPr>
            </w:pPr>
          </w:p>
        </w:tc>
        <w:tc>
          <w:tcPr>
            <w:tcW w:w="1135" w:type="dxa"/>
            <w:vAlign w:val="center"/>
          </w:tcPr>
          <w:p w14:paraId="13543853">
            <w:pPr>
              <w:pStyle w:val="234"/>
              <w:jc w:val="both"/>
              <w:rPr>
                <w:rFonts w:ascii="Times New Roman" w:hAnsi="Times New Roman"/>
              </w:rPr>
            </w:pPr>
          </w:p>
        </w:tc>
        <w:tc>
          <w:tcPr>
            <w:tcW w:w="1563" w:type="dxa"/>
            <w:vAlign w:val="center"/>
          </w:tcPr>
          <w:p w14:paraId="356D5590">
            <w:pPr>
              <w:pStyle w:val="234"/>
              <w:jc w:val="both"/>
              <w:rPr>
                <w:rFonts w:ascii="Times New Roman" w:hAnsi="Times New Roman"/>
              </w:rPr>
            </w:pPr>
          </w:p>
        </w:tc>
        <w:tc>
          <w:tcPr>
            <w:tcW w:w="987" w:type="dxa"/>
            <w:vAlign w:val="center"/>
          </w:tcPr>
          <w:p w14:paraId="2872215B">
            <w:pPr>
              <w:pStyle w:val="234"/>
              <w:jc w:val="both"/>
              <w:rPr>
                <w:rFonts w:ascii="Times New Roman" w:hAnsi="Times New Roman"/>
              </w:rPr>
            </w:pPr>
          </w:p>
        </w:tc>
        <w:tc>
          <w:tcPr>
            <w:tcW w:w="845" w:type="dxa"/>
            <w:vAlign w:val="center"/>
          </w:tcPr>
          <w:p w14:paraId="58C50026">
            <w:pPr>
              <w:pStyle w:val="234"/>
              <w:jc w:val="both"/>
              <w:rPr>
                <w:rFonts w:ascii="Times New Roman" w:hAnsi="Times New Roman"/>
              </w:rPr>
            </w:pPr>
          </w:p>
        </w:tc>
        <w:tc>
          <w:tcPr>
            <w:tcW w:w="1136" w:type="dxa"/>
            <w:vAlign w:val="center"/>
          </w:tcPr>
          <w:p w14:paraId="07487DDF">
            <w:pPr>
              <w:pStyle w:val="234"/>
              <w:jc w:val="both"/>
              <w:rPr>
                <w:rFonts w:ascii="Times New Roman" w:hAnsi="Times New Roman"/>
              </w:rPr>
            </w:pPr>
          </w:p>
        </w:tc>
        <w:tc>
          <w:tcPr>
            <w:tcW w:w="1557" w:type="dxa"/>
            <w:vAlign w:val="center"/>
          </w:tcPr>
          <w:p w14:paraId="5DCE2893">
            <w:pPr>
              <w:pStyle w:val="234"/>
              <w:jc w:val="both"/>
              <w:rPr>
                <w:rFonts w:ascii="Times New Roman" w:hAnsi="Times New Roman"/>
              </w:rPr>
            </w:pPr>
          </w:p>
        </w:tc>
      </w:tr>
      <w:tr w14:paraId="27F3E1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708" w:type="dxa"/>
            <w:vAlign w:val="center"/>
          </w:tcPr>
          <w:p w14:paraId="6674049F">
            <w:pPr>
              <w:pStyle w:val="234"/>
              <w:jc w:val="both"/>
              <w:rPr>
                <w:rFonts w:ascii="Times New Roman" w:hAnsi="Times New Roman"/>
              </w:rPr>
            </w:pPr>
          </w:p>
        </w:tc>
        <w:tc>
          <w:tcPr>
            <w:tcW w:w="854" w:type="dxa"/>
            <w:vAlign w:val="center"/>
          </w:tcPr>
          <w:p w14:paraId="22346AB9">
            <w:pPr>
              <w:pStyle w:val="234"/>
              <w:jc w:val="both"/>
              <w:rPr>
                <w:rFonts w:ascii="Times New Roman" w:hAnsi="Times New Roman"/>
              </w:rPr>
            </w:pPr>
          </w:p>
        </w:tc>
        <w:tc>
          <w:tcPr>
            <w:tcW w:w="1135" w:type="dxa"/>
            <w:vAlign w:val="center"/>
          </w:tcPr>
          <w:p w14:paraId="296C10FE">
            <w:pPr>
              <w:pStyle w:val="234"/>
              <w:jc w:val="both"/>
              <w:rPr>
                <w:rFonts w:ascii="Times New Roman" w:hAnsi="Times New Roman"/>
              </w:rPr>
            </w:pPr>
          </w:p>
        </w:tc>
        <w:tc>
          <w:tcPr>
            <w:tcW w:w="1563" w:type="dxa"/>
            <w:vAlign w:val="center"/>
          </w:tcPr>
          <w:p w14:paraId="589B8B38">
            <w:pPr>
              <w:pStyle w:val="234"/>
              <w:jc w:val="both"/>
              <w:rPr>
                <w:rFonts w:ascii="Times New Roman" w:hAnsi="Times New Roman"/>
              </w:rPr>
            </w:pPr>
          </w:p>
        </w:tc>
        <w:tc>
          <w:tcPr>
            <w:tcW w:w="987" w:type="dxa"/>
            <w:vAlign w:val="center"/>
          </w:tcPr>
          <w:p w14:paraId="026C362C">
            <w:pPr>
              <w:pStyle w:val="234"/>
              <w:jc w:val="both"/>
              <w:rPr>
                <w:rFonts w:ascii="Times New Roman" w:hAnsi="Times New Roman"/>
              </w:rPr>
            </w:pPr>
          </w:p>
        </w:tc>
        <w:tc>
          <w:tcPr>
            <w:tcW w:w="845" w:type="dxa"/>
            <w:vAlign w:val="center"/>
          </w:tcPr>
          <w:p w14:paraId="55094976">
            <w:pPr>
              <w:pStyle w:val="234"/>
              <w:jc w:val="both"/>
              <w:rPr>
                <w:rFonts w:ascii="Times New Roman" w:hAnsi="Times New Roman"/>
              </w:rPr>
            </w:pPr>
          </w:p>
        </w:tc>
        <w:tc>
          <w:tcPr>
            <w:tcW w:w="1136" w:type="dxa"/>
            <w:vAlign w:val="center"/>
          </w:tcPr>
          <w:p w14:paraId="4E01453D">
            <w:pPr>
              <w:pStyle w:val="234"/>
              <w:jc w:val="both"/>
              <w:rPr>
                <w:rFonts w:ascii="Times New Roman" w:hAnsi="Times New Roman"/>
              </w:rPr>
            </w:pPr>
          </w:p>
        </w:tc>
        <w:tc>
          <w:tcPr>
            <w:tcW w:w="1557" w:type="dxa"/>
            <w:vAlign w:val="center"/>
          </w:tcPr>
          <w:p w14:paraId="2D5A39F2">
            <w:pPr>
              <w:pStyle w:val="234"/>
              <w:jc w:val="both"/>
              <w:rPr>
                <w:rFonts w:ascii="Times New Roman" w:hAnsi="Times New Roman"/>
              </w:rPr>
            </w:pPr>
          </w:p>
        </w:tc>
      </w:tr>
      <w:tr w14:paraId="3D2C1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5247" w:type="dxa"/>
            <w:gridSpan w:val="5"/>
            <w:vAlign w:val="center"/>
          </w:tcPr>
          <w:p w14:paraId="738ECC8B">
            <w:pPr>
              <w:autoSpaceDE w:val="0"/>
              <w:autoSpaceDN w:val="0"/>
              <w:jc w:val="center"/>
              <w:rPr>
                <w:rFonts w:ascii="宋体" w:hAnsi="宋体"/>
                <w:sz w:val="18"/>
                <w:szCs w:val="18"/>
              </w:rPr>
            </w:pPr>
            <w:r>
              <w:rPr>
                <w:rFonts w:ascii="宋体" w:hAnsi="宋体"/>
                <w:sz w:val="18"/>
                <w:szCs w:val="18"/>
                <w:lang w:bidi="ar"/>
              </w:rPr>
              <w:t>检测示意图</w:t>
            </w:r>
          </w:p>
        </w:tc>
        <w:tc>
          <w:tcPr>
            <w:tcW w:w="3538" w:type="dxa"/>
            <w:gridSpan w:val="3"/>
            <w:vAlign w:val="center"/>
          </w:tcPr>
          <w:p w14:paraId="2B7C0BA3">
            <w:pPr>
              <w:autoSpaceDE w:val="0"/>
              <w:autoSpaceDN w:val="0"/>
              <w:jc w:val="center"/>
              <w:rPr>
                <w:rFonts w:ascii="宋体" w:hAnsi="宋体"/>
                <w:sz w:val="18"/>
                <w:szCs w:val="18"/>
              </w:rPr>
            </w:pPr>
            <w:r>
              <w:rPr>
                <w:rFonts w:ascii="宋体" w:hAnsi="宋体"/>
                <w:sz w:val="18"/>
                <w:szCs w:val="18"/>
                <w:lang w:bidi="ar"/>
              </w:rPr>
              <w:t>路面结构</w:t>
            </w:r>
          </w:p>
        </w:tc>
      </w:tr>
      <w:tr w14:paraId="17892D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51" w:hRule="atLeast"/>
          <w:jc w:val="center"/>
        </w:trPr>
        <w:tc>
          <w:tcPr>
            <w:tcW w:w="5247" w:type="dxa"/>
            <w:gridSpan w:val="5"/>
            <w:vAlign w:val="center"/>
          </w:tcPr>
          <w:p w14:paraId="58062AB5">
            <w:pPr>
              <w:pStyle w:val="234"/>
              <w:jc w:val="both"/>
              <w:rPr>
                <w:rFonts w:ascii="Times New Roman" w:hAnsi="Times New Roman"/>
              </w:rPr>
            </w:pPr>
          </w:p>
        </w:tc>
        <w:tc>
          <w:tcPr>
            <w:tcW w:w="3538" w:type="dxa"/>
            <w:gridSpan w:val="3"/>
            <w:vAlign w:val="center"/>
          </w:tcPr>
          <w:p w14:paraId="5FCC3534">
            <w:pPr>
              <w:pStyle w:val="234"/>
              <w:jc w:val="both"/>
              <w:rPr>
                <w:rFonts w:ascii="Times New Roman" w:hAnsi="Times New Roman"/>
              </w:rPr>
            </w:pPr>
          </w:p>
        </w:tc>
      </w:tr>
      <w:tr w14:paraId="0747B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jc w:val="center"/>
        </w:trPr>
        <w:tc>
          <w:tcPr>
            <w:tcW w:w="8785" w:type="dxa"/>
            <w:gridSpan w:val="8"/>
            <w:vAlign w:val="center"/>
          </w:tcPr>
          <w:p w14:paraId="015BB5E9">
            <w:pPr>
              <w:pStyle w:val="234"/>
              <w:jc w:val="both"/>
              <w:rPr>
                <w:rFonts w:ascii="Times New Roman" w:hAnsi="Times New Roman"/>
                <w:lang w:eastAsia="zh-CN"/>
              </w:rPr>
            </w:pPr>
            <w:r>
              <w:rPr>
                <w:lang w:eastAsia="zh-CN"/>
              </w:rPr>
              <w:t>操作人：</w:t>
            </w:r>
            <w:r>
              <w:rPr>
                <w:rFonts w:hint="eastAsia"/>
                <w:lang w:eastAsia="zh-CN"/>
              </w:rPr>
              <w:t xml:space="preserve">          </w:t>
            </w:r>
            <w:r>
              <w:rPr>
                <w:lang w:eastAsia="zh-CN"/>
              </w:rPr>
              <w:tab/>
            </w:r>
            <w:r>
              <w:rPr>
                <w:lang w:eastAsia="zh-CN"/>
              </w:rPr>
              <w:t>记录人：</w:t>
            </w:r>
            <w:r>
              <w:rPr>
                <w:rFonts w:hint="eastAsia"/>
                <w:lang w:eastAsia="zh-CN"/>
              </w:rPr>
              <w:t xml:space="preserve">             </w:t>
            </w:r>
            <w:r>
              <w:rPr>
                <w:lang w:eastAsia="zh-CN"/>
              </w:rPr>
              <w:tab/>
            </w:r>
            <w:r>
              <w:rPr>
                <w:lang w:eastAsia="zh-CN"/>
              </w:rPr>
              <w:t>日 期：</w:t>
            </w:r>
            <w:r>
              <w:rPr>
                <w:rFonts w:hint="eastAsia"/>
                <w:lang w:eastAsia="zh-CN"/>
              </w:rPr>
              <w:t xml:space="preserve">               </w:t>
            </w:r>
            <w:r>
              <w:rPr>
                <w:lang w:eastAsia="zh-CN"/>
              </w:rPr>
              <w:t>第</w:t>
            </w:r>
            <w:r>
              <w:rPr>
                <w:lang w:eastAsia="zh-CN"/>
              </w:rPr>
              <w:tab/>
            </w:r>
            <w:r>
              <w:rPr>
                <w:lang w:eastAsia="zh-CN"/>
              </w:rPr>
              <w:t>页</w:t>
            </w:r>
            <w:r>
              <w:rPr>
                <w:rFonts w:eastAsia="Times New Roman"/>
                <w:lang w:eastAsia="zh-CN"/>
              </w:rPr>
              <w:t>/</w:t>
            </w:r>
            <w:r>
              <w:rPr>
                <w:lang w:eastAsia="zh-CN"/>
              </w:rPr>
              <w:t>共</w:t>
            </w:r>
            <w:r>
              <w:rPr>
                <w:lang w:eastAsia="zh-CN"/>
              </w:rPr>
              <w:tab/>
            </w:r>
            <w:r>
              <w:rPr>
                <w:lang w:eastAsia="zh-CN"/>
              </w:rPr>
              <w:t>页</w:t>
            </w:r>
          </w:p>
        </w:tc>
      </w:tr>
    </w:tbl>
    <w:p w14:paraId="435E21F0">
      <w:pPr>
        <w:widowControl/>
        <w:adjustRightInd/>
        <w:spacing w:line="240" w:lineRule="auto"/>
        <w:jc w:val="left"/>
        <w:rPr>
          <w:rFonts w:hint="eastAsia" w:ascii="宋体" w:hAnsi="宋体"/>
          <w:kern w:val="0"/>
          <w:szCs w:val="20"/>
        </w:rPr>
      </w:pPr>
    </w:p>
    <w:p w14:paraId="42F2780A">
      <w:pPr>
        <w:widowControl/>
        <w:adjustRightInd/>
        <w:spacing w:line="240" w:lineRule="auto"/>
        <w:jc w:val="left"/>
        <w:rPr>
          <w:rFonts w:hint="eastAsia" w:ascii="宋体" w:hAnsi="宋体"/>
          <w:kern w:val="0"/>
          <w:szCs w:val="20"/>
        </w:rPr>
      </w:pPr>
      <w:r>
        <w:rPr>
          <w:rFonts w:hint="eastAsia" w:ascii="宋体" w:hAnsi="宋体"/>
          <w:kern w:val="0"/>
          <w:szCs w:val="20"/>
        </w:rPr>
        <w:br w:type="page"/>
      </w:r>
    </w:p>
    <w:p w14:paraId="1CAD0D5C">
      <w:pPr>
        <w:widowControl/>
        <w:adjustRightInd/>
        <w:spacing w:line="240" w:lineRule="auto"/>
        <w:jc w:val="left"/>
        <w:rPr>
          <w:rFonts w:hint="eastAsia" w:ascii="宋体" w:hAnsi="宋体"/>
          <w:kern w:val="0"/>
          <w:szCs w:val="20"/>
        </w:rPr>
      </w:pPr>
    </w:p>
    <w:p w14:paraId="7B01078A">
      <w:pPr>
        <w:pStyle w:val="77"/>
        <w:spacing w:before="78" w:after="156"/>
      </w:pPr>
      <w:bookmarkStart w:id="73" w:name="_Toc28787"/>
      <w:r>
        <w:rPr/>
        <w:br w:type="textWrapping" w:clear="all"/>
      </w:r>
      <w:r>
        <w:rPr>
          <w:rFonts w:hint="eastAsia"/>
        </w:rPr>
        <w:t>（</w:t>
      </w:r>
      <w:r>
        <w:rPr>
          <w:rFonts w:hint="eastAsia"/>
          <w:lang w:eastAsia="zh-CN"/>
        </w:rPr>
        <w:t>资料</w:t>
      </w:r>
      <w:r>
        <w:rPr>
          <w:rFonts w:hint="eastAsia"/>
        </w:rPr>
        <w:t>性）</w:t>
      </w:r>
      <w:r>
        <w:rPr/>
        <w:br w:type="textWrapping" w:clear="all"/>
      </w:r>
      <w:r>
        <w:t>雷达介电常数标定记录表</w:t>
      </w:r>
      <w:bookmarkEnd w:id="73"/>
    </w:p>
    <w:p w14:paraId="3F71C1D3">
      <w:pPr>
        <w:pStyle w:val="57"/>
        <w:rPr>
          <w:rFonts w:hint="eastAsia"/>
          <w:lang w:val="en-US" w:eastAsia="zh-CN"/>
        </w:rPr>
      </w:pPr>
      <w:r>
        <w:rPr>
          <w:rFonts w:hint="eastAsia"/>
          <w:lang w:val="en-US" w:eastAsia="zh-CN"/>
        </w:rPr>
        <w:t>雷达介电常数标定记录表如表B.1所示。</w:t>
      </w:r>
    </w:p>
    <w:p w14:paraId="7F220E09">
      <w:pPr>
        <w:pStyle w:val="57"/>
        <w:jc w:val="center"/>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表</w:t>
      </w:r>
      <w:r>
        <w:rPr>
          <w:rFonts w:hint="eastAsia" w:ascii="黑体" w:eastAsia="黑体" w:cs="Times New Roman"/>
          <w:sz w:val="21"/>
          <w:lang w:val="en-US" w:eastAsia="zh-CN" w:bidi="ar-SA"/>
        </w:rPr>
        <w:t>B</w:t>
      </w:r>
      <w:r>
        <w:rPr>
          <w:rFonts w:hint="eastAsia" w:ascii="黑体" w:hAnsi="Times New Roman" w:eastAsia="黑体" w:cs="Times New Roman"/>
          <w:sz w:val="21"/>
          <w:lang w:val="en-US" w:eastAsia="zh-CN" w:bidi="ar-SA"/>
        </w:rPr>
        <w:t>.1 雷达介电常数标定记录表</w:t>
      </w:r>
    </w:p>
    <w:tbl>
      <w:tblPr>
        <w:tblStyle w:val="27"/>
        <w:tblW w:w="0" w:type="auto"/>
        <w:tblInd w:w="1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0"/>
        <w:gridCol w:w="1138"/>
        <w:gridCol w:w="1278"/>
        <w:gridCol w:w="1275"/>
        <w:gridCol w:w="1703"/>
        <w:gridCol w:w="1698"/>
        <w:gridCol w:w="1229"/>
      </w:tblGrid>
      <w:tr w14:paraId="4FCCB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9161" w:type="dxa"/>
            <w:gridSpan w:val="7"/>
            <w:vAlign w:val="center"/>
          </w:tcPr>
          <w:p w14:paraId="1B852143">
            <w:pPr>
              <w:pStyle w:val="13"/>
              <w:rPr>
                <w:rFonts w:hint="eastAsia" w:eastAsiaTheme="minorEastAsia"/>
              </w:rPr>
            </w:pPr>
            <w:r>
              <w:t xml:space="preserve">工程名称： </w:t>
            </w:r>
            <w:r>
              <w:rPr>
                <w:rFonts w:hint="eastAsia"/>
              </w:rPr>
              <w:t xml:space="preserve">                       </w:t>
            </w:r>
            <w:r>
              <w:tab/>
            </w:r>
            <w:r>
              <w:rPr>
                <w:spacing w:val="-3"/>
              </w:rPr>
              <w:t>探</w:t>
            </w:r>
            <w:r>
              <w:t>测地点：</w:t>
            </w:r>
            <w:r>
              <w:rPr>
                <w:rFonts w:eastAsia="Times New Roman"/>
              </w:rPr>
              <w:t xml:space="preserve"> </w:t>
            </w:r>
            <w:r>
              <w:rPr>
                <w:rFonts w:hint="eastAsia" w:eastAsiaTheme="minorEastAsia"/>
              </w:rPr>
              <w:t xml:space="preserve">                      </w:t>
            </w:r>
            <w:r>
              <w:rPr>
                <w:rFonts w:eastAsia="Times New Roman"/>
              </w:rPr>
              <w:tab/>
            </w:r>
          </w:p>
        </w:tc>
      </w:tr>
      <w:tr w14:paraId="485C2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9161" w:type="dxa"/>
            <w:gridSpan w:val="7"/>
            <w:vAlign w:val="center"/>
          </w:tcPr>
          <w:p w14:paraId="158B836E">
            <w:pPr>
              <w:pStyle w:val="13"/>
              <w:rPr>
                <w:rFonts w:hint="eastAsia" w:eastAsiaTheme="minorEastAsia"/>
              </w:rPr>
            </w:pPr>
            <w:r>
              <w:t>仪器型号：</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天线频率范围（</w:t>
            </w:r>
            <w:r>
              <w:rPr>
                <w:rFonts w:eastAsia="Times New Roman"/>
                <w:spacing w:val="-1"/>
              </w:rPr>
              <w:t>MH</w:t>
            </w:r>
            <w:r>
              <w:rPr>
                <w:rFonts w:eastAsia="Times New Roman"/>
                <w:spacing w:val="1"/>
              </w:rPr>
              <w:t>z</w:t>
            </w:r>
            <w:r>
              <w:rPr>
                <w:spacing w:val="-120"/>
              </w:rPr>
              <w:t>）</w:t>
            </w:r>
            <w:r>
              <w:t>：</w:t>
            </w:r>
            <w:r>
              <w:rPr>
                <w:rFonts w:hint="eastAsia"/>
              </w:rPr>
              <w:t xml:space="preserve">    </w:t>
            </w:r>
            <w:r>
              <w:rPr>
                <w:rFonts w:eastAsia="Times New Roman"/>
                <w:u w:val="single"/>
              </w:rPr>
              <w:t xml:space="preserve"> </w:t>
            </w:r>
            <w:r>
              <w:rPr>
                <w:rFonts w:hint="eastAsia" w:eastAsiaTheme="minorEastAsia"/>
                <w:u w:val="single"/>
              </w:rPr>
              <w:t xml:space="preserve">    </w:t>
            </w:r>
            <w:r>
              <w:rPr>
                <w:rFonts w:eastAsia="Times New Roman"/>
                <w:u w:val="single"/>
              </w:rPr>
              <w:tab/>
            </w:r>
            <w:r>
              <w:rPr>
                <w:rFonts w:eastAsia="Times New Roman"/>
              </w:rPr>
              <w:t xml:space="preserve">  </w:t>
            </w:r>
            <w:r>
              <w:rPr>
                <w:rFonts w:eastAsia="Times New Roman"/>
                <w:spacing w:val="5"/>
              </w:rPr>
              <w:t xml:space="preserve"> </w:t>
            </w:r>
            <w:r>
              <w:t>编号</w:t>
            </w:r>
            <w:r>
              <w:rPr>
                <w:spacing w:val="-2"/>
              </w:rPr>
              <w:t>：</w:t>
            </w:r>
            <w:r>
              <w:rPr>
                <w:rFonts w:eastAsia="Times New Roman"/>
                <w:u w:val="single"/>
              </w:rPr>
              <w:t xml:space="preserve"> </w:t>
            </w:r>
            <w:r>
              <w:rPr>
                <w:rFonts w:hint="eastAsia" w:eastAsiaTheme="minorEastAsia"/>
                <w:u w:val="single"/>
              </w:rPr>
              <w:t xml:space="preserve">   </w:t>
            </w:r>
            <w:r>
              <w:rPr>
                <w:rFonts w:eastAsia="Times New Roman"/>
                <w:u w:val="single"/>
              </w:rPr>
              <w:tab/>
            </w:r>
          </w:p>
        </w:tc>
      </w:tr>
      <w:tr w14:paraId="322460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6" w:hRule="atLeast"/>
        </w:trPr>
        <w:tc>
          <w:tcPr>
            <w:tcW w:w="1978" w:type="dxa"/>
            <w:gridSpan w:val="2"/>
            <w:vAlign w:val="center"/>
          </w:tcPr>
          <w:p w14:paraId="269D81C5">
            <w:pPr>
              <w:pStyle w:val="234"/>
              <w:spacing w:before="91"/>
              <w:ind w:left="508"/>
              <w:jc w:val="both"/>
              <w:rPr>
                <w:rFonts w:ascii="Times New Roman" w:hAnsi="Times New Roman"/>
                <w:sz w:val="21"/>
                <w:szCs w:val="21"/>
              </w:rPr>
            </w:pPr>
            <w:r>
              <w:rPr>
                <w:rFonts w:ascii="Times New Roman" w:hAnsi="Times New Roman"/>
                <w:sz w:val="21"/>
                <w:szCs w:val="21"/>
              </w:rPr>
              <w:t>道路名称</w:t>
            </w:r>
          </w:p>
        </w:tc>
        <w:tc>
          <w:tcPr>
            <w:tcW w:w="2553" w:type="dxa"/>
            <w:gridSpan w:val="2"/>
            <w:vAlign w:val="center"/>
          </w:tcPr>
          <w:p w14:paraId="574C60E6">
            <w:pPr>
              <w:pStyle w:val="234"/>
              <w:spacing w:before="91"/>
              <w:ind w:left="460"/>
              <w:jc w:val="both"/>
              <w:rPr>
                <w:rFonts w:ascii="Times New Roman" w:hAnsi="Times New Roman"/>
                <w:sz w:val="21"/>
                <w:szCs w:val="21"/>
              </w:rPr>
            </w:pPr>
            <w:r>
              <w:rPr>
                <w:rFonts w:ascii="Times New Roman" w:hAnsi="Times New Roman"/>
                <w:sz w:val="21"/>
                <w:szCs w:val="21"/>
              </w:rPr>
              <w:t>标定距离（</w:t>
            </w:r>
            <w:r>
              <w:rPr>
                <w:rFonts w:ascii="Times New Roman" w:hAnsi="Times New Roman" w:eastAsia="Times New Roman"/>
                <w:sz w:val="21"/>
                <w:szCs w:val="21"/>
              </w:rPr>
              <w:t>m</w:t>
            </w:r>
            <w:r>
              <w:rPr>
                <w:rFonts w:ascii="Times New Roman" w:hAnsi="Times New Roman"/>
                <w:sz w:val="21"/>
                <w:szCs w:val="21"/>
              </w:rPr>
              <w:t>）</w:t>
            </w:r>
          </w:p>
        </w:tc>
        <w:tc>
          <w:tcPr>
            <w:tcW w:w="1703" w:type="dxa"/>
            <w:vAlign w:val="center"/>
          </w:tcPr>
          <w:p w14:paraId="772B50A6">
            <w:pPr>
              <w:pStyle w:val="234"/>
              <w:spacing w:before="91"/>
              <w:ind w:left="34"/>
              <w:jc w:val="both"/>
              <w:rPr>
                <w:rFonts w:ascii="Times New Roman" w:hAnsi="Times New Roman"/>
                <w:sz w:val="21"/>
                <w:szCs w:val="21"/>
              </w:rPr>
            </w:pPr>
            <w:r>
              <w:rPr>
                <w:rFonts w:ascii="Times New Roman" w:hAnsi="Times New Roman"/>
                <w:sz w:val="21"/>
                <w:szCs w:val="21"/>
              </w:rPr>
              <w:t>实测距离（</w:t>
            </w:r>
            <w:r>
              <w:rPr>
                <w:rFonts w:ascii="Times New Roman" w:hAnsi="Times New Roman" w:eastAsia="Times New Roman"/>
                <w:sz w:val="21"/>
                <w:szCs w:val="21"/>
              </w:rPr>
              <w:t>m</w:t>
            </w:r>
            <w:r>
              <w:rPr>
                <w:rFonts w:ascii="Times New Roman" w:hAnsi="Times New Roman"/>
                <w:sz w:val="21"/>
                <w:szCs w:val="21"/>
              </w:rPr>
              <w:t>）</w:t>
            </w:r>
          </w:p>
        </w:tc>
        <w:tc>
          <w:tcPr>
            <w:tcW w:w="1698" w:type="dxa"/>
            <w:vAlign w:val="center"/>
          </w:tcPr>
          <w:p w14:paraId="41CC7A91">
            <w:pPr>
              <w:pStyle w:val="234"/>
              <w:spacing w:before="91"/>
              <w:ind w:left="11" w:right="5"/>
              <w:jc w:val="both"/>
              <w:rPr>
                <w:rFonts w:ascii="Times New Roman" w:hAnsi="Times New Roman"/>
                <w:sz w:val="21"/>
                <w:szCs w:val="21"/>
              </w:rPr>
            </w:pPr>
            <w:r>
              <w:rPr>
                <w:rFonts w:ascii="Times New Roman" w:hAnsi="Times New Roman"/>
                <w:sz w:val="21"/>
                <w:szCs w:val="21"/>
              </w:rPr>
              <w:t>显示距离（</w:t>
            </w:r>
            <w:r>
              <w:rPr>
                <w:rFonts w:ascii="Times New Roman" w:hAnsi="Times New Roman" w:eastAsia="Times New Roman"/>
                <w:sz w:val="21"/>
                <w:szCs w:val="21"/>
              </w:rPr>
              <w:t>m</w:t>
            </w:r>
            <w:r>
              <w:rPr>
                <w:rFonts w:ascii="Times New Roman" w:hAnsi="Times New Roman"/>
                <w:sz w:val="21"/>
                <w:szCs w:val="21"/>
              </w:rPr>
              <w:t>）</w:t>
            </w:r>
          </w:p>
        </w:tc>
        <w:tc>
          <w:tcPr>
            <w:tcW w:w="1229" w:type="dxa"/>
            <w:vAlign w:val="center"/>
          </w:tcPr>
          <w:p w14:paraId="5CC89AAA">
            <w:pPr>
              <w:pStyle w:val="234"/>
              <w:spacing w:before="91"/>
              <w:ind w:left="30"/>
              <w:jc w:val="both"/>
              <w:rPr>
                <w:rFonts w:ascii="Times New Roman" w:hAnsi="Times New Roman"/>
                <w:sz w:val="21"/>
                <w:szCs w:val="21"/>
              </w:rPr>
            </w:pPr>
            <w:r>
              <w:rPr>
                <w:rFonts w:ascii="Times New Roman" w:hAnsi="Times New Roman"/>
                <w:sz w:val="21"/>
                <w:szCs w:val="21"/>
              </w:rPr>
              <w:t>误差（</w:t>
            </w:r>
            <w:r>
              <w:rPr>
                <w:rFonts w:ascii="Times New Roman" w:hAnsi="Times New Roman" w:eastAsia="Times New Roman"/>
                <w:sz w:val="21"/>
                <w:szCs w:val="21"/>
              </w:rPr>
              <w:t>%</w:t>
            </w:r>
            <w:r>
              <w:rPr>
                <w:rFonts w:ascii="Times New Roman" w:hAnsi="Times New Roman"/>
                <w:sz w:val="21"/>
                <w:szCs w:val="21"/>
              </w:rPr>
              <w:t>）</w:t>
            </w:r>
          </w:p>
        </w:tc>
      </w:tr>
      <w:tr w14:paraId="6FFD2A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23" w:hRule="atLeast"/>
        </w:trPr>
        <w:tc>
          <w:tcPr>
            <w:tcW w:w="840" w:type="dxa"/>
            <w:vAlign w:val="center"/>
          </w:tcPr>
          <w:p w14:paraId="2CBC9D69">
            <w:pPr>
              <w:pStyle w:val="234"/>
              <w:ind w:left="179"/>
              <w:jc w:val="both"/>
              <w:rPr>
                <w:rFonts w:ascii="Times New Roman" w:hAnsi="Times New Roman"/>
                <w:sz w:val="21"/>
                <w:szCs w:val="21"/>
              </w:rPr>
            </w:pPr>
            <w:r>
              <w:rPr>
                <w:rFonts w:ascii="Times New Roman" w:hAnsi="Times New Roman"/>
                <w:sz w:val="21"/>
                <w:szCs w:val="21"/>
              </w:rPr>
              <w:t>编号</w:t>
            </w:r>
          </w:p>
        </w:tc>
        <w:tc>
          <w:tcPr>
            <w:tcW w:w="1138" w:type="dxa"/>
            <w:vAlign w:val="center"/>
          </w:tcPr>
          <w:p w14:paraId="6ACA0B9B">
            <w:pPr>
              <w:pStyle w:val="234"/>
              <w:ind w:left="328"/>
              <w:jc w:val="both"/>
              <w:rPr>
                <w:rFonts w:ascii="Times New Roman" w:hAnsi="Times New Roman"/>
                <w:sz w:val="21"/>
                <w:szCs w:val="21"/>
              </w:rPr>
            </w:pPr>
            <w:r>
              <w:rPr>
                <w:rFonts w:ascii="Times New Roman" w:hAnsi="Times New Roman"/>
                <w:sz w:val="21"/>
                <w:szCs w:val="21"/>
              </w:rPr>
              <w:t>层位</w:t>
            </w:r>
          </w:p>
        </w:tc>
        <w:tc>
          <w:tcPr>
            <w:tcW w:w="1278" w:type="dxa"/>
            <w:vAlign w:val="center"/>
          </w:tcPr>
          <w:p w14:paraId="7F2D31E5">
            <w:pPr>
              <w:pStyle w:val="234"/>
              <w:spacing w:before="220" w:line="292" w:lineRule="auto"/>
              <w:ind w:left="169" w:right="25" w:hanging="135"/>
              <w:jc w:val="both"/>
              <w:rPr>
                <w:rFonts w:ascii="Times New Roman" w:hAnsi="Times New Roman"/>
                <w:sz w:val="21"/>
                <w:szCs w:val="21"/>
                <w:lang w:eastAsia="zh-CN"/>
              </w:rPr>
            </w:pPr>
            <w:r>
              <w:rPr>
                <w:rFonts w:ascii="Times New Roman" w:hAnsi="Times New Roman"/>
                <w:sz w:val="21"/>
                <w:szCs w:val="21"/>
                <w:lang w:eastAsia="zh-CN"/>
              </w:rPr>
              <w:t>双程旅行时间（</w:t>
            </w:r>
            <w:r>
              <w:rPr>
                <w:rFonts w:ascii="Times New Roman" w:hAnsi="Times New Roman" w:eastAsia="Times New Roman"/>
                <w:sz w:val="21"/>
                <w:szCs w:val="21"/>
                <w:lang w:eastAsia="zh-CN"/>
              </w:rPr>
              <w:t>ns</w:t>
            </w:r>
            <w:r>
              <w:rPr>
                <w:rFonts w:ascii="Times New Roman" w:hAnsi="Times New Roman"/>
                <w:sz w:val="21"/>
                <w:szCs w:val="21"/>
                <w:lang w:eastAsia="zh-CN"/>
              </w:rPr>
              <w:t>）</w:t>
            </w:r>
          </w:p>
        </w:tc>
        <w:tc>
          <w:tcPr>
            <w:tcW w:w="1275" w:type="dxa"/>
            <w:vAlign w:val="center"/>
          </w:tcPr>
          <w:p w14:paraId="104A5B0F">
            <w:pPr>
              <w:pStyle w:val="234"/>
              <w:ind w:left="134" w:right="125"/>
              <w:jc w:val="both"/>
              <w:rPr>
                <w:rFonts w:ascii="Times New Roman" w:hAnsi="Times New Roman"/>
                <w:sz w:val="21"/>
                <w:szCs w:val="21"/>
              </w:rPr>
            </w:pPr>
            <w:r>
              <w:rPr>
                <w:rFonts w:ascii="Times New Roman" w:hAnsi="Times New Roman"/>
                <w:sz w:val="21"/>
                <w:szCs w:val="21"/>
              </w:rPr>
              <w:t>实测厚度</w:t>
            </w:r>
          </w:p>
          <w:p w14:paraId="19848B63">
            <w:pPr>
              <w:pStyle w:val="234"/>
              <w:spacing w:before="67"/>
              <w:ind w:left="134" w:right="125"/>
              <w:jc w:val="both"/>
              <w:rPr>
                <w:rFonts w:ascii="Times New Roman" w:hAnsi="Times New Roman"/>
                <w:sz w:val="21"/>
                <w:szCs w:val="21"/>
              </w:rPr>
            </w:pPr>
            <w:r>
              <w:rPr>
                <w:rFonts w:ascii="Times New Roman" w:hAnsi="Times New Roman"/>
                <w:sz w:val="21"/>
                <w:szCs w:val="21"/>
              </w:rPr>
              <w:t>（</w:t>
            </w:r>
            <w:r>
              <w:rPr>
                <w:rFonts w:ascii="Times New Roman" w:hAnsi="Times New Roman" w:eastAsia="Times New Roman"/>
                <w:sz w:val="21"/>
                <w:szCs w:val="21"/>
              </w:rPr>
              <w:t>m</w:t>
            </w:r>
            <w:r>
              <w:rPr>
                <w:rFonts w:ascii="Times New Roman" w:hAnsi="Times New Roman"/>
                <w:sz w:val="21"/>
                <w:szCs w:val="21"/>
              </w:rPr>
              <w:t>）</w:t>
            </w:r>
          </w:p>
        </w:tc>
        <w:tc>
          <w:tcPr>
            <w:tcW w:w="1703" w:type="dxa"/>
            <w:vAlign w:val="center"/>
          </w:tcPr>
          <w:p w14:paraId="072A56FD">
            <w:pPr>
              <w:pStyle w:val="234"/>
              <w:ind w:left="227" w:right="220"/>
              <w:jc w:val="both"/>
              <w:rPr>
                <w:rFonts w:ascii="Times New Roman" w:hAnsi="Times New Roman"/>
                <w:sz w:val="21"/>
                <w:szCs w:val="21"/>
              </w:rPr>
            </w:pPr>
            <w:r>
              <w:rPr>
                <w:rFonts w:ascii="Times New Roman" w:hAnsi="Times New Roman"/>
                <w:sz w:val="21"/>
                <w:szCs w:val="21"/>
              </w:rPr>
              <w:t>电磁波速度</w:t>
            </w:r>
          </w:p>
          <w:p w14:paraId="404C831C">
            <w:pPr>
              <w:pStyle w:val="234"/>
              <w:spacing w:before="67"/>
              <w:ind w:left="227" w:right="217"/>
              <w:jc w:val="both"/>
              <w:rPr>
                <w:rFonts w:ascii="Times New Roman" w:hAnsi="Times New Roman"/>
                <w:sz w:val="21"/>
                <w:szCs w:val="21"/>
              </w:rPr>
            </w:pPr>
            <w:r>
              <w:rPr>
                <w:rFonts w:ascii="Times New Roman" w:hAnsi="Times New Roman"/>
                <w:sz w:val="21"/>
                <w:szCs w:val="21"/>
              </w:rPr>
              <w:t>（</w:t>
            </w:r>
            <w:r>
              <w:rPr>
                <w:rFonts w:ascii="Times New Roman" w:hAnsi="Times New Roman" w:eastAsia="Times New Roman"/>
                <w:sz w:val="21"/>
                <w:szCs w:val="21"/>
              </w:rPr>
              <w:t>m/s</w:t>
            </w:r>
            <w:r>
              <w:rPr>
                <w:rFonts w:ascii="Times New Roman" w:hAnsi="Times New Roman"/>
                <w:sz w:val="21"/>
                <w:szCs w:val="21"/>
              </w:rPr>
              <w:t>）</w:t>
            </w:r>
          </w:p>
        </w:tc>
        <w:tc>
          <w:tcPr>
            <w:tcW w:w="1698" w:type="dxa"/>
            <w:vAlign w:val="center"/>
          </w:tcPr>
          <w:p w14:paraId="63609CD0">
            <w:pPr>
              <w:pStyle w:val="234"/>
              <w:ind w:left="10" w:right="5"/>
              <w:jc w:val="both"/>
              <w:rPr>
                <w:rFonts w:ascii="Times New Roman" w:hAnsi="Times New Roman"/>
                <w:sz w:val="21"/>
                <w:szCs w:val="21"/>
              </w:rPr>
            </w:pPr>
            <w:r>
              <w:rPr>
                <w:rFonts w:ascii="Times New Roman" w:hAnsi="Times New Roman"/>
                <w:sz w:val="21"/>
                <w:szCs w:val="21"/>
              </w:rPr>
              <w:t>相对介电常数</w:t>
            </w:r>
          </w:p>
        </w:tc>
        <w:tc>
          <w:tcPr>
            <w:tcW w:w="1229" w:type="dxa"/>
            <w:vAlign w:val="center"/>
          </w:tcPr>
          <w:p w14:paraId="31555BE6">
            <w:pPr>
              <w:pStyle w:val="234"/>
              <w:ind w:left="108" w:right="106"/>
              <w:jc w:val="both"/>
              <w:rPr>
                <w:rFonts w:ascii="Times New Roman" w:hAnsi="Times New Roman"/>
                <w:sz w:val="21"/>
                <w:szCs w:val="21"/>
              </w:rPr>
            </w:pPr>
            <w:r>
              <w:rPr>
                <w:rFonts w:ascii="Times New Roman" w:hAnsi="Times New Roman"/>
                <w:sz w:val="21"/>
                <w:szCs w:val="21"/>
              </w:rPr>
              <w:t>厚度误差</w:t>
            </w:r>
          </w:p>
          <w:p w14:paraId="2D7E1FE7">
            <w:pPr>
              <w:pStyle w:val="234"/>
              <w:spacing w:before="67"/>
              <w:ind w:left="108" w:right="103"/>
              <w:jc w:val="both"/>
              <w:rPr>
                <w:rFonts w:ascii="Times New Roman" w:hAnsi="Times New Roman"/>
                <w:sz w:val="21"/>
                <w:szCs w:val="21"/>
              </w:rPr>
            </w:pPr>
            <w:r>
              <w:rPr>
                <w:rFonts w:ascii="Times New Roman" w:hAnsi="Times New Roman"/>
                <w:sz w:val="21"/>
                <w:szCs w:val="21"/>
              </w:rPr>
              <w:t>（</w:t>
            </w:r>
            <w:r>
              <w:rPr>
                <w:rFonts w:ascii="Times New Roman" w:hAnsi="Times New Roman" w:eastAsia="Times New Roman"/>
                <w:sz w:val="21"/>
                <w:szCs w:val="21"/>
              </w:rPr>
              <w:t>%</w:t>
            </w:r>
            <w:r>
              <w:rPr>
                <w:rFonts w:ascii="Times New Roman" w:hAnsi="Times New Roman"/>
                <w:sz w:val="21"/>
                <w:szCs w:val="21"/>
              </w:rPr>
              <w:t>）</w:t>
            </w:r>
          </w:p>
        </w:tc>
      </w:tr>
      <w:tr w14:paraId="0D20D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1461F851">
            <w:pPr>
              <w:pStyle w:val="234"/>
              <w:jc w:val="both"/>
              <w:rPr>
                <w:rFonts w:ascii="Times New Roman" w:hAnsi="Times New Roman"/>
                <w:sz w:val="24"/>
              </w:rPr>
            </w:pPr>
          </w:p>
        </w:tc>
        <w:tc>
          <w:tcPr>
            <w:tcW w:w="1138" w:type="dxa"/>
            <w:vAlign w:val="center"/>
          </w:tcPr>
          <w:p w14:paraId="07A70E99">
            <w:pPr>
              <w:pStyle w:val="234"/>
              <w:jc w:val="both"/>
              <w:rPr>
                <w:rFonts w:ascii="Times New Roman" w:hAnsi="Times New Roman"/>
                <w:sz w:val="24"/>
              </w:rPr>
            </w:pPr>
          </w:p>
        </w:tc>
        <w:tc>
          <w:tcPr>
            <w:tcW w:w="1278" w:type="dxa"/>
            <w:vAlign w:val="center"/>
          </w:tcPr>
          <w:p w14:paraId="7F56EC0C">
            <w:pPr>
              <w:pStyle w:val="234"/>
              <w:jc w:val="both"/>
              <w:rPr>
                <w:rFonts w:ascii="Times New Roman" w:hAnsi="Times New Roman"/>
                <w:sz w:val="24"/>
              </w:rPr>
            </w:pPr>
          </w:p>
        </w:tc>
        <w:tc>
          <w:tcPr>
            <w:tcW w:w="1275" w:type="dxa"/>
            <w:vAlign w:val="center"/>
          </w:tcPr>
          <w:p w14:paraId="7BE75E8D">
            <w:pPr>
              <w:pStyle w:val="234"/>
              <w:jc w:val="both"/>
              <w:rPr>
                <w:rFonts w:ascii="Times New Roman" w:hAnsi="Times New Roman"/>
                <w:sz w:val="24"/>
              </w:rPr>
            </w:pPr>
          </w:p>
        </w:tc>
        <w:tc>
          <w:tcPr>
            <w:tcW w:w="1703" w:type="dxa"/>
            <w:vAlign w:val="center"/>
          </w:tcPr>
          <w:p w14:paraId="65B7FA7B">
            <w:pPr>
              <w:pStyle w:val="234"/>
              <w:jc w:val="both"/>
              <w:rPr>
                <w:rFonts w:ascii="Times New Roman" w:hAnsi="Times New Roman"/>
                <w:sz w:val="24"/>
              </w:rPr>
            </w:pPr>
          </w:p>
        </w:tc>
        <w:tc>
          <w:tcPr>
            <w:tcW w:w="1698" w:type="dxa"/>
            <w:vAlign w:val="center"/>
          </w:tcPr>
          <w:p w14:paraId="0E7D8C0D">
            <w:pPr>
              <w:pStyle w:val="234"/>
              <w:jc w:val="both"/>
              <w:rPr>
                <w:rFonts w:ascii="Times New Roman" w:hAnsi="Times New Roman"/>
                <w:sz w:val="24"/>
              </w:rPr>
            </w:pPr>
          </w:p>
        </w:tc>
        <w:tc>
          <w:tcPr>
            <w:tcW w:w="1229" w:type="dxa"/>
            <w:vAlign w:val="center"/>
          </w:tcPr>
          <w:p w14:paraId="65D315D7">
            <w:pPr>
              <w:pStyle w:val="234"/>
              <w:jc w:val="both"/>
              <w:rPr>
                <w:rFonts w:ascii="Times New Roman" w:hAnsi="Times New Roman"/>
                <w:sz w:val="24"/>
              </w:rPr>
            </w:pPr>
          </w:p>
        </w:tc>
      </w:tr>
      <w:tr w14:paraId="252A5B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4E9DB2EB">
            <w:pPr>
              <w:pStyle w:val="234"/>
              <w:jc w:val="both"/>
              <w:rPr>
                <w:rFonts w:ascii="Times New Roman" w:hAnsi="Times New Roman"/>
                <w:sz w:val="24"/>
              </w:rPr>
            </w:pPr>
          </w:p>
        </w:tc>
        <w:tc>
          <w:tcPr>
            <w:tcW w:w="1138" w:type="dxa"/>
            <w:vAlign w:val="center"/>
          </w:tcPr>
          <w:p w14:paraId="0F3FEAC6">
            <w:pPr>
              <w:pStyle w:val="234"/>
              <w:jc w:val="both"/>
              <w:rPr>
                <w:rFonts w:ascii="Times New Roman" w:hAnsi="Times New Roman"/>
                <w:sz w:val="24"/>
              </w:rPr>
            </w:pPr>
          </w:p>
        </w:tc>
        <w:tc>
          <w:tcPr>
            <w:tcW w:w="1278" w:type="dxa"/>
            <w:vAlign w:val="center"/>
          </w:tcPr>
          <w:p w14:paraId="6AA390EA">
            <w:pPr>
              <w:pStyle w:val="234"/>
              <w:jc w:val="both"/>
              <w:rPr>
                <w:rFonts w:ascii="Times New Roman" w:hAnsi="Times New Roman"/>
                <w:sz w:val="24"/>
              </w:rPr>
            </w:pPr>
          </w:p>
        </w:tc>
        <w:tc>
          <w:tcPr>
            <w:tcW w:w="1275" w:type="dxa"/>
            <w:vAlign w:val="center"/>
          </w:tcPr>
          <w:p w14:paraId="3B4CCC95">
            <w:pPr>
              <w:pStyle w:val="234"/>
              <w:jc w:val="both"/>
              <w:rPr>
                <w:rFonts w:ascii="Times New Roman" w:hAnsi="Times New Roman"/>
                <w:sz w:val="24"/>
              </w:rPr>
            </w:pPr>
          </w:p>
        </w:tc>
        <w:tc>
          <w:tcPr>
            <w:tcW w:w="1703" w:type="dxa"/>
            <w:vAlign w:val="center"/>
          </w:tcPr>
          <w:p w14:paraId="2A0730AB">
            <w:pPr>
              <w:pStyle w:val="234"/>
              <w:jc w:val="both"/>
              <w:rPr>
                <w:rFonts w:ascii="Times New Roman" w:hAnsi="Times New Roman"/>
                <w:sz w:val="24"/>
              </w:rPr>
            </w:pPr>
          </w:p>
        </w:tc>
        <w:tc>
          <w:tcPr>
            <w:tcW w:w="1698" w:type="dxa"/>
            <w:vAlign w:val="center"/>
          </w:tcPr>
          <w:p w14:paraId="3A127AE8">
            <w:pPr>
              <w:pStyle w:val="234"/>
              <w:jc w:val="both"/>
              <w:rPr>
                <w:rFonts w:ascii="Times New Roman" w:hAnsi="Times New Roman"/>
                <w:sz w:val="24"/>
              </w:rPr>
            </w:pPr>
          </w:p>
        </w:tc>
        <w:tc>
          <w:tcPr>
            <w:tcW w:w="1229" w:type="dxa"/>
            <w:vAlign w:val="center"/>
          </w:tcPr>
          <w:p w14:paraId="14B08A56">
            <w:pPr>
              <w:pStyle w:val="234"/>
              <w:jc w:val="both"/>
              <w:rPr>
                <w:rFonts w:ascii="Times New Roman" w:hAnsi="Times New Roman"/>
                <w:sz w:val="24"/>
              </w:rPr>
            </w:pPr>
          </w:p>
        </w:tc>
      </w:tr>
      <w:tr w14:paraId="742CD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35417A34">
            <w:pPr>
              <w:pStyle w:val="234"/>
              <w:jc w:val="both"/>
              <w:rPr>
                <w:rFonts w:ascii="Times New Roman" w:hAnsi="Times New Roman"/>
                <w:sz w:val="24"/>
              </w:rPr>
            </w:pPr>
          </w:p>
        </w:tc>
        <w:tc>
          <w:tcPr>
            <w:tcW w:w="1138" w:type="dxa"/>
            <w:vAlign w:val="center"/>
          </w:tcPr>
          <w:p w14:paraId="6D8BA16A">
            <w:pPr>
              <w:pStyle w:val="234"/>
              <w:jc w:val="both"/>
              <w:rPr>
                <w:rFonts w:ascii="Times New Roman" w:hAnsi="Times New Roman"/>
                <w:sz w:val="24"/>
              </w:rPr>
            </w:pPr>
          </w:p>
        </w:tc>
        <w:tc>
          <w:tcPr>
            <w:tcW w:w="1278" w:type="dxa"/>
            <w:vAlign w:val="center"/>
          </w:tcPr>
          <w:p w14:paraId="2389F0CC">
            <w:pPr>
              <w:pStyle w:val="234"/>
              <w:jc w:val="both"/>
              <w:rPr>
                <w:rFonts w:ascii="Times New Roman" w:hAnsi="Times New Roman"/>
                <w:sz w:val="24"/>
              </w:rPr>
            </w:pPr>
          </w:p>
        </w:tc>
        <w:tc>
          <w:tcPr>
            <w:tcW w:w="1275" w:type="dxa"/>
            <w:vAlign w:val="center"/>
          </w:tcPr>
          <w:p w14:paraId="316FC00A">
            <w:pPr>
              <w:pStyle w:val="234"/>
              <w:jc w:val="both"/>
              <w:rPr>
                <w:rFonts w:ascii="Times New Roman" w:hAnsi="Times New Roman"/>
                <w:sz w:val="24"/>
              </w:rPr>
            </w:pPr>
          </w:p>
        </w:tc>
        <w:tc>
          <w:tcPr>
            <w:tcW w:w="1703" w:type="dxa"/>
            <w:vAlign w:val="center"/>
          </w:tcPr>
          <w:p w14:paraId="5309AE08">
            <w:pPr>
              <w:pStyle w:val="234"/>
              <w:jc w:val="both"/>
              <w:rPr>
                <w:rFonts w:ascii="Times New Roman" w:hAnsi="Times New Roman"/>
                <w:sz w:val="24"/>
              </w:rPr>
            </w:pPr>
          </w:p>
        </w:tc>
        <w:tc>
          <w:tcPr>
            <w:tcW w:w="1698" w:type="dxa"/>
            <w:vAlign w:val="center"/>
          </w:tcPr>
          <w:p w14:paraId="09995350">
            <w:pPr>
              <w:pStyle w:val="234"/>
              <w:jc w:val="both"/>
              <w:rPr>
                <w:rFonts w:ascii="Times New Roman" w:hAnsi="Times New Roman"/>
                <w:sz w:val="24"/>
              </w:rPr>
            </w:pPr>
          </w:p>
        </w:tc>
        <w:tc>
          <w:tcPr>
            <w:tcW w:w="1229" w:type="dxa"/>
            <w:vAlign w:val="center"/>
          </w:tcPr>
          <w:p w14:paraId="2A323893">
            <w:pPr>
              <w:pStyle w:val="234"/>
              <w:jc w:val="both"/>
              <w:rPr>
                <w:rFonts w:ascii="Times New Roman" w:hAnsi="Times New Roman"/>
                <w:sz w:val="24"/>
              </w:rPr>
            </w:pPr>
          </w:p>
        </w:tc>
      </w:tr>
      <w:tr w14:paraId="11414C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3CF4F68C">
            <w:pPr>
              <w:pStyle w:val="234"/>
              <w:jc w:val="both"/>
              <w:rPr>
                <w:rFonts w:ascii="Times New Roman" w:hAnsi="Times New Roman"/>
                <w:sz w:val="24"/>
              </w:rPr>
            </w:pPr>
          </w:p>
        </w:tc>
        <w:tc>
          <w:tcPr>
            <w:tcW w:w="1138" w:type="dxa"/>
            <w:vAlign w:val="center"/>
          </w:tcPr>
          <w:p w14:paraId="0FC15B39">
            <w:pPr>
              <w:pStyle w:val="234"/>
              <w:jc w:val="both"/>
              <w:rPr>
                <w:rFonts w:ascii="Times New Roman" w:hAnsi="Times New Roman"/>
                <w:sz w:val="24"/>
              </w:rPr>
            </w:pPr>
          </w:p>
        </w:tc>
        <w:tc>
          <w:tcPr>
            <w:tcW w:w="1278" w:type="dxa"/>
            <w:vAlign w:val="center"/>
          </w:tcPr>
          <w:p w14:paraId="7F0E8959">
            <w:pPr>
              <w:pStyle w:val="234"/>
              <w:jc w:val="both"/>
              <w:rPr>
                <w:rFonts w:ascii="Times New Roman" w:hAnsi="Times New Roman"/>
                <w:sz w:val="24"/>
              </w:rPr>
            </w:pPr>
          </w:p>
        </w:tc>
        <w:tc>
          <w:tcPr>
            <w:tcW w:w="1275" w:type="dxa"/>
            <w:vAlign w:val="center"/>
          </w:tcPr>
          <w:p w14:paraId="35BEBFF0">
            <w:pPr>
              <w:pStyle w:val="234"/>
              <w:jc w:val="both"/>
              <w:rPr>
                <w:rFonts w:ascii="Times New Roman" w:hAnsi="Times New Roman"/>
                <w:sz w:val="24"/>
              </w:rPr>
            </w:pPr>
          </w:p>
        </w:tc>
        <w:tc>
          <w:tcPr>
            <w:tcW w:w="1703" w:type="dxa"/>
            <w:vAlign w:val="center"/>
          </w:tcPr>
          <w:p w14:paraId="18390D2B">
            <w:pPr>
              <w:pStyle w:val="234"/>
              <w:jc w:val="both"/>
              <w:rPr>
                <w:rFonts w:ascii="Times New Roman" w:hAnsi="Times New Roman"/>
                <w:sz w:val="24"/>
              </w:rPr>
            </w:pPr>
          </w:p>
        </w:tc>
        <w:tc>
          <w:tcPr>
            <w:tcW w:w="1698" w:type="dxa"/>
            <w:vAlign w:val="center"/>
          </w:tcPr>
          <w:p w14:paraId="463F7E8C">
            <w:pPr>
              <w:pStyle w:val="234"/>
              <w:jc w:val="both"/>
              <w:rPr>
                <w:rFonts w:ascii="Times New Roman" w:hAnsi="Times New Roman"/>
                <w:sz w:val="24"/>
              </w:rPr>
            </w:pPr>
          </w:p>
        </w:tc>
        <w:tc>
          <w:tcPr>
            <w:tcW w:w="1229" w:type="dxa"/>
            <w:vAlign w:val="center"/>
          </w:tcPr>
          <w:p w14:paraId="3EE39367">
            <w:pPr>
              <w:pStyle w:val="234"/>
              <w:jc w:val="both"/>
              <w:rPr>
                <w:rFonts w:ascii="Times New Roman" w:hAnsi="Times New Roman"/>
                <w:sz w:val="24"/>
              </w:rPr>
            </w:pPr>
          </w:p>
        </w:tc>
      </w:tr>
      <w:tr w14:paraId="6CB8C7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418CC5B5">
            <w:pPr>
              <w:pStyle w:val="234"/>
              <w:jc w:val="both"/>
              <w:rPr>
                <w:rFonts w:ascii="Times New Roman" w:hAnsi="Times New Roman"/>
                <w:sz w:val="24"/>
              </w:rPr>
            </w:pPr>
          </w:p>
        </w:tc>
        <w:tc>
          <w:tcPr>
            <w:tcW w:w="1138" w:type="dxa"/>
            <w:vAlign w:val="center"/>
          </w:tcPr>
          <w:p w14:paraId="6876863F">
            <w:pPr>
              <w:pStyle w:val="234"/>
              <w:jc w:val="both"/>
              <w:rPr>
                <w:rFonts w:ascii="Times New Roman" w:hAnsi="Times New Roman"/>
                <w:sz w:val="24"/>
              </w:rPr>
            </w:pPr>
          </w:p>
        </w:tc>
        <w:tc>
          <w:tcPr>
            <w:tcW w:w="1278" w:type="dxa"/>
            <w:vAlign w:val="center"/>
          </w:tcPr>
          <w:p w14:paraId="124DB5C7">
            <w:pPr>
              <w:pStyle w:val="234"/>
              <w:jc w:val="both"/>
              <w:rPr>
                <w:rFonts w:ascii="Times New Roman" w:hAnsi="Times New Roman"/>
                <w:sz w:val="24"/>
              </w:rPr>
            </w:pPr>
          </w:p>
        </w:tc>
        <w:tc>
          <w:tcPr>
            <w:tcW w:w="1275" w:type="dxa"/>
            <w:vAlign w:val="center"/>
          </w:tcPr>
          <w:p w14:paraId="78AA4D80">
            <w:pPr>
              <w:pStyle w:val="234"/>
              <w:jc w:val="both"/>
              <w:rPr>
                <w:rFonts w:ascii="Times New Roman" w:hAnsi="Times New Roman"/>
                <w:sz w:val="24"/>
              </w:rPr>
            </w:pPr>
          </w:p>
        </w:tc>
        <w:tc>
          <w:tcPr>
            <w:tcW w:w="1703" w:type="dxa"/>
            <w:vAlign w:val="center"/>
          </w:tcPr>
          <w:p w14:paraId="2E33EB9F">
            <w:pPr>
              <w:pStyle w:val="234"/>
              <w:jc w:val="both"/>
              <w:rPr>
                <w:rFonts w:ascii="Times New Roman" w:hAnsi="Times New Roman"/>
                <w:sz w:val="24"/>
              </w:rPr>
            </w:pPr>
          </w:p>
        </w:tc>
        <w:tc>
          <w:tcPr>
            <w:tcW w:w="1698" w:type="dxa"/>
            <w:vAlign w:val="center"/>
          </w:tcPr>
          <w:p w14:paraId="6DC02B21">
            <w:pPr>
              <w:pStyle w:val="234"/>
              <w:jc w:val="both"/>
              <w:rPr>
                <w:rFonts w:ascii="Times New Roman" w:hAnsi="Times New Roman"/>
                <w:sz w:val="24"/>
              </w:rPr>
            </w:pPr>
          </w:p>
        </w:tc>
        <w:tc>
          <w:tcPr>
            <w:tcW w:w="1229" w:type="dxa"/>
            <w:vAlign w:val="center"/>
          </w:tcPr>
          <w:p w14:paraId="389E743A">
            <w:pPr>
              <w:pStyle w:val="234"/>
              <w:jc w:val="both"/>
              <w:rPr>
                <w:rFonts w:ascii="Times New Roman" w:hAnsi="Times New Roman"/>
                <w:sz w:val="24"/>
              </w:rPr>
            </w:pPr>
          </w:p>
        </w:tc>
      </w:tr>
      <w:tr w14:paraId="02804F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2724D65F">
            <w:pPr>
              <w:pStyle w:val="234"/>
              <w:jc w:val="both"/>
              <w:rPr>
                <w:rFonts w:ascii="Times New Roman" w:hAnsi="Times New Roman"/>
                <w:sz w:val="24"/>
              </w:rPr>
            </w:pPr>
          </w:p>
        </w:tc>
        <w:tc>
          <w:tcPr>
            <w:tcW w:w="1138" w:type="dxa"/>
            <w:vAlign w:val="center"/>
          </w:tcPr>
          <w:p w14:paraId="036CC7AF">
            <w:pPr>
              <w:pStyle w:val="234"/>
              <w:jc w:val="both"/>
              <w:rPr>
                <w:rFonts w:ascii="Times New Roman" w:hAnsi="Times New Roman"/>
                <w:sz w:val="24"/>
              </w:rPr>
            </w:pPr>
          </w:p>
        </w:tc>
        <w:tc>
          <w:tcPr>
            <w:tcW w:w="1278" w:type="dxa"/>
            <w:vAlign w:val="center"/>
          </w:tcPr>
          <w:p w14:paraId="642F82BD">
            <w:pPr>
              <w:pStyle w:val="234"/>
              <w:jc w:val="both"/>
              <w:rPr>
                <w:rFonts w:ascii="Times New Roman" w:hAnsi="Times New Roman"/>
                <w:sz w:val="24"/>
              </w:rPr>
            </w:pPr>
          </w:p>
        </w:tc>
        <w:tc>
          <w:tcPr>
            <w:tcW w:w="1275" w:type="dxa"/>
            <w:vAlign w:val="center"/>
          </w:tcPr>
          <w:p w14:paraId="2D0FCD2B">
            <w:pPr>
              <w:pStyle w:val="234"/>
              <w:jc w:val="both"/>
              <w:rPr>
                <w:rFonts w:ascii="Times New Roman" w:hAnsi="Times New Roman"/>
                <w:sz w:val="24"/>
              </w:rPr>
            </w:pPr>
          </w:p>
        </w:tc>
        <w:tc>
          <w:tcPr>
            <w:tcW w:w="1703" w:type="dxa"/>
            <w:vAlign w:val="center"/>
          </w:tcPr>
          <w:p w14:paraId="1840FC76">
            <w:pPr>
              <w:pStyle w:val="234"/>
              <w:jc w:val="both"/>
              <w:rPr>
                <w:rFonts w:ascii="Times New Roman" w:hAnsi="Times New Roman"/>
                <w:sz w:val="24"/>
              </w:rPr>
            </w:pPr>
          </w:p>
        </w:tc>
        <w:tc>
          <w:tcPr>
            <w:tcW w:w="1698" w:type="dxa"/>
            <w:vAlign w:val="center"/>
          </w:tcPr>
          <w:p w14:paraId="37003085">
            <w:pPr>
              <w:pStyle w:val="234"/>
              <w:jc w:val="both"/>
              <w:rPr>
                <w:rFonts w:ascii="Times New Roman" w:hAnsi="Times New Roman"/>
                <w:sz w:val="24"/>
              </w:rPr>
            </w:pPr>
          </w:p>
        </w:tc>
        <w:tc>
          <w:tcPr>
            <w:tcW w:w="1229" w:type="dxa"/>
            <w:vAlign w:val="center"/>
          </w:tcPr>
          <w:p w14:paraId="034A36CF">
            <w:pPr>
              <w:pStyle w:val="234"/>
              <w:jc w:val="both"/>
              <w:rPr>
                <w:rFonts w:ascii="Times New Roman" w:hAnsi="Times New Roman"/>
                <w:sz w:val="24"/>
              </w:rPr>
            </w:pPr>
          </w:p>
        </w:tc>
      </w:tr>
      <w:tr w14:paraId="6A7D1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74FF1660">
            <w:pPr>
              <w:pStyle w:val="234"/>
              <w:jc w:val="both"/>
              <w:rPr>
                <w:rFonts w:ascii="Times New Roman" w:hAnsi="Times New Roman"/>
                <w:sz w:val="24"/>
              </w:rPr>
            </w:pPr>
          </w:p>
        </w:tc>
        <w:tc>
          <w:tcPr>
            <w:tcW w:w="1138" w:type="dxa"/>
            <w:vAlign w:val="center"/>
          </w:tcPr>
          <w:p w14:paraId="1353A3DF">
            <w:pPr>
              <w:pStyle w:val="234"/>
              <w:jc w:val="both"/>
              <w:rPr>
                <w:rFonts w:ascii="Times New Roman" w:hAnsi="Times New Roman"/>
                <w:sz w:val="24"/>
              </w:rPr>
            </w:pPr>
          </w:p>
        </w:tc>
        <w:tc>
          <w:tcPr>
            <w:tcW w:w="1278" w:type="dxa"/>
            <w:vAlign w:val="center"/>
          </w:tcPr>
          <w:p w14:paraId="117E0AC5">
            <w:pPr>
              <w:pStyle w:val="234"/>
              <w:jc w:val="both"/>
              <w:rPr>
                <w:rFonts w:ascii="Times New Roman" w:hAnsi="Times New Roman"/>
                <w:sz w:val="24"/>
              </w:rPr>
            </w:pPr>
          </w:p>
        </w:tc>
        <w:tc>
          <w:tcPr>
            <w:tcW w:w="1275" w:type="dxa"/>
            <w:vAlign w:val="center"/>
          </w:tcPr>
          <w:p w14:paraId="3CD7B999">
            <w:pPr>
              <w:pStyle w:val="234"/>
              <w:jc w:val="both"/>
              <w:rPr>
                <w:rFonts w:ascii="Times New Roman" w:hAnsi="Times New Roman"/>
                <w:sz w:val="24"/>
              </w:rPr>
            </w:pPr>
          </w:p>
        </w:tc>
        <w:tc>
          <w:tcPr>
            <w:tcW w:w="1703" w:type="dxa"/>
            <w:vAlign w:val="center"/>
          </w:tcPr>
          <w:p w14:paraId="391C860C">
            <w:pPr>
              <w:pStyle w:val="234"/>
              <w:jc w:val="both"/>
              <w:rPr>
                <w:rFonts w:ascii="Times New Roman" w:hAnsi="Times New Roman"/>
                <w:sz w:val="24"/>
              </w:rPr>
            </w:pPr>
          </w:p>
        </w:tc>
        <w:tc>
          <w:tcPr>
            <w:tcW w:w="1698" w:type="dxa"/>
            <w:vAlign w:val="center"/>
          </w:tcPr>
          <w:p w14:paraId="3F59E5C8">
            <w:pPr>
              <w:pStyle w:val="234"/>
              <w:jc w:val="both"/>
              <w:rPr>
                <w:rFonts w:ascii="Times New Roman" w:hAnsi="Times New Roman"/>
                <w:sz w:val="24"/>
              </w:rPr>
            </w:pPr>
          </w:p>
        </w:tc>
        <w:tc>
          <w:tcPr>
            <w:tcW w:w="1229" w:type="dxa"/>
            <w:vAlign w:val="center"/>
          </w:tcPr>
          <w:p w14:paraId="120F105F">
            <w:pPr>
              <w:pStyle w:val="234"/>
              <w:jc w:val="both"/>
              <w:rPr>
                <w:rFonts w:ascii="Times New Roman" w:hAnsi="Times New Roman"/>
                <w:sz w:val="24"/>
              </w:rPr>
            </w:pPr>
          </w:p>
        </w:tc>
      </w:tr>
      <w:tr w14:paraId="527439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840" w:type="dxa"/>
            <w:vAlign w:val="center"/>
          </w:tcPr>
          <w:p w14:paraId="3E03DB77">
            <w:pPr>
              <w:pStyle w:val="234"/>
              <w:jc w:val="both"/>
              <w:rPr>
                <w:rFonts w:ascii="Times New Roman" w:hAnsi="Times New Roman"/>
                <w:sz w:val="24"/>
              </w:rPr>
            </w:pPr>
          </w:p>
        </w:tc>
        <w:tc>
          <w:tcPr>
            <w:tcW w:w="1138" w:type="dxa"/>
            <w:vAlign w:val="center"/>
          </w:tcPr>
          <w:p w14:paraId="43B34684">
            <w:pPr>
              <w:pStyle w:val="234"/>
              <w:jc w:val="both"/>
              <w:rPr>
                <w:rFonts w:ascii="Times New Roman" w:hAnsi="Times New Roman"/>
                <w:sz w:val="24"/>
              </w:rPr>
            </w:pPr>
          </w:p>
        </w:tc>
        <w:tc>
          <w:tcPr>
            <w:tcW w:w="1278" w:type="dxa"/>
            <w:vAlign w:val="center"/>
          </w:tcPr>
          <w:p w14:paraId="71857AF0">
            <w:pPr>
              <w:pStyle w:val="234"/>
              <w:jc w:val="both"/>
              <w:rPr>
                <w:rFonts w:ascii="Times New Roman" w:hAnsi="Times New Roman"/>
                <w:sz w:val="24"/>
              </w:rPr>
            </w:pPr>
          </w:p>
        </w:tc>
        <w:tc>
          <w:tcPr>
            <w:tcW w:w="1275" w:type="dxa"/>
            <w:vAlign w:val="center"/>
          </w:tcPr>
          <w:p w14:paraId="08E388A0">
            <w:pPr>
              <w:pStyle w:val="234"/>
              <w:jc w:val="both"/>
              <w:rPr>
                <w:rFonts w:ascii="Times New Roman" w:hAnsi="Times New Roman"/>
                <w:sz w:val="24"/>
              </w:rPr>
            </w:pPr>
          </w:p>
        </w:tc>
        <w:tc>
          <w:tcPr>
            <w:tcW w:w="1703" w:type="dxa"/>
            <w:vAlign w:val="center"/>
          </w:tcPr>
          <w:p w14:paraId="272BF31D">
            <w:pPr>
              <w:pStyle w:val="234"/>
              <w:jc w:val="both"/>
              <w:rPr>
                <w:rFonts w:ascii="Times New Roman" w:hAnsi="Times New Roman"/>
                <w:sz w:val="24"/>
              </w:rPr>
            </w:pPr>
          </w:p>
        </w:tc>
        <w:tc>
          <w:tcPr>
            <w:tcW w:w="1698" w:type="dxa"/>
            <w:vAlign w:val="center"/>
          </w:tcPr>
          <w:p w14:paraId="29C44D09">
            <w:pPr>
              <w:pStyle w:val="234"/>
              <w:jc w:val="both"/>
              <w:rPr>
                <w:rFonts w:ascii="Times New Roman" w:hAnsi="Times New Roman"/>
                <w:sz w:val="24"/>
              </w:rPr>
            </w:pPr>
          </w:p>
        </w:tc>
        <w:tc>
          <w:tcPr>
            <w:tcW w:w="1229" w:type="dxa"/>
            <w:vAlign w:val="center"/>
          </w:tcPr>
          <w:p w14:paraId="07AD62D7">
            <w:pPr>
              <w:pStyle w:val="234"/>
              <w:jc w:val="both"/>
              <w:rPr>
                <w:rFonts w:ascii="Times New Roman" w:hAnsi="Times New Roman"/>
                <w:sz w:val="24"/>
              </w:rPr>
            </w:pPr>
          </w:p>
        </w:tc>
      </w:tr>
      <w:tr w14:paraId="7C88F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0A0CA7F1">
            <w:pPr>
              <w:pStyle w:val="234"/>
              <w:jc w:val="both"/>
              <w:rPr>
                <w:rFonts w:ascii="Times New Roman" w:hAnsi="Times New Roman"/>
                <w:sz w:val="24"/>
              </w:rPr>
            </w:pPr>
          </w:p>
        </w:tc>
        <w:tc>
          <w:tcPr>
            <w:tcW w:w="1138" w:type="dxa"/>
            <w:vAlign w:val="center"/>
          </w:tcPr>
          <w:p w14:paraId="0BB94316">
            <w:pPr>
              <w:pStyle w:val="234"/>
              <w:jc w:val="both"/>
              <w:rPr>
                <w:rFonts w:ascii="Times New Roman" w:hAnsi="Times New Roman"/>
                <w:sz w:val="24"/>
              </w:rPr>
            </w:pPr>
          </w:p>
        </w:tc>
        <w:tc>
          <w:tcPr>
            <w:tcW w:w="1278" w:type="dxa"/>
            <w:vAlign w:val="center"/>
          </w:tcPr>
          <w:p w14:paraId="7E81C9C7">
            <w:pPr>
              <w:pStyle w:val="234"/>
              <w:jc w:val="both"/>
              <w:rPr>
                <w:rFonts w:ascii="Times New Roman" w:hAnsi="Times New Roman"/>
                <w:sz w:val="24"/>
              </w:rPr>
            </w:pPr>
          </w:p>
        </w:tc>
        <w:tc>
          <w:tcPr>
            <w:tcW w:w="1275" w:type="dxa"/>
            <w:vAlign w:val="center"/>
          </w:tcPr>
          <w:p w14:paraId="608F9E65">
            <w:pPr>
              <w:pStyle w:val="234"/>
              <w:jc w:val="both"/>
              <w:rPr>
                <w:rFonts w:ascii="Times New Roman" w:hAnsi="Times New Roman"/>
                <w:sz w:val="24"/>
              </w:rPr>
            </w:pPr>
          </w:p>
        </w:tc>
        <w:tc>
          <w:tcPr>
            <w:tcW w:w="1703" w:type="dxa"/>
            <w:vAlign w:val="center"/>
          </w:tcPr>
          <w:p w14:paraId="0DF53A2A">
            <w:pPr>
              <w:pStyle w:val="234"/>
              <w:jc w:val="both"/>
              <w:rPr>
                <w:rFonts w:ascii="Times New Roman" w:hAnsi="Times New Roman"/>
                <w:sz w:val="24"/>
              </w:rPr>
            </w:pPr>
          </w:p>
        </w:tc>
        <w:tc>
          <w:tcPr>
            <w:tcW w:w="1698" w:type="dxa"/>
            <w:vAlign w:val="center"/>
          </w:tcPr>
          <w:p w14:paraId="0368CA67">
            <w:pPr>
              <w:pStyle w:val="234"/>
              <w:jc w:val="both"/>
              <w:rPr>
                <w:rFonts w:ascii="Times New Roman" w:hAnsi="Times New Roman"/>
                <w:sz w:val="24"/>
              </w:rPr>
            </w:pPr>
          </w:p>
        </w:tc>
        <w:tc>
          <w:tcPr>
            <w:tcW w:w="1229" w:type="dxa"/>
            <w:vAlign w:val="center"/>
          </w:tcPr>
          <w:p w14:paraId="698681FF">
            <w:pPr>
              <w:pStyle w:val="234"/>
              <w:jc w:val="both"/>
              <w:rPr>
                <w:rFonts w:ascii="Times New Roman" w:hAnsi="Times New Roman"/>
                <w:sz w:val="24"/>
              </w:rPr>
            </w:pPr>
          </w:p>
        </w:tc>
      </w:tr>
      <w:tr w14:paraId="242DE4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4F14B6D7">
            <w:pPr>
              <w:pStyle w:val="234"/>
              <w:jc w:val="both"/>
              <w:rPr>
                <w:rFonts w:ascii="Times New Roman" w:hAnsi="Times New Roman"/>
                <w:sz w:val="24"/>
              </w:rPr>
            </w:pPr>
          </w:p>
        </w:tc>
        <w:tc>
          <w:tcPr>
            <w:tcW w:w="1138" w:type="dxa"/>
            <w:vAlign w:val="center"/>
          </w:tcPr>
          <w:p w14:paraId="6D8C687D">
            <w:pPr>
              <w:pStyle w:val="234"/>
              <w:jc w:val="both"/>
              <w:rPr>
                <w:rFonts w:ascii="Times New Roman" w:hAnsi="Times New Roman"/>
                <w:sz w:val="24"/>
              </w:rPr>
            </w:pPr>
          </w:p>
        </w:tc>
        <w:tc>
          <w:tcPr>
            <w:tcW w:w="1278" w:type="dxa"/>
            <w:vAlign w:val="center"/>
          </w:tcPr>
          <w:p w14:paraId="594F37DE">
            <w:pPr>
              <w:pStyle w:val="234"/>
              <w:jc w:val="both"/>
              <w:rPr>
                <w:rFonts w:ascii="Times New Roman" w:hAnsi="Times New Roman"/>
                <w:sz w:val="24"/>
              </w:rPr>
            </w:pPr>
          </w:p>
        </w:tc>
        <w:tc>
          <w:tcPr>
            <w:tcW w:w="1275" w:type="dxa"/>
            <w:vAlign w:val="center"/>
          </w:tcPr>
          <w:p w14:paraId="728A0444">
            <w:pPr>
              <w:pStyle w:val="234"/>
              <w:jc w:val="both"/>
              <w:rPr>
                <w:rFonts w:ascii="Times New Roman" w:hAnsi="Times New Roman"/>
                <w:sz w:val="24"/>
              </w:rPr>
            </w:pPr>
          </w:p>
        </w:tc>
        <w:tc>
          <w:tcPr>
            <w:tcW w:w="1703" w:type="dxa"/>
            <w:vAlign w:val="center"/>
          </w:tcPr>
          <w:p w14:paraId="28605BCB">
            <w:pPr>
              <w:pStyle w:val="234"/>
              <w:jc w:val="both"/>
              <w:rPr>
                <w:rFonts w:ascii="Times New Roman" w:hAnsi="Times New Roman"/>
                <w:sz w:val="24"/>
              </w:rPr>
            </w:pPr>
          </w:p>
        </w:tc>
        <w:tc>
          <w:tcPr>
            <w:tcW w:w="1698" w:type="dxa"/>
            <w:vAlign w:val="center"/>
          </w:tcPr>
          <w:p w14:paraId="0E9CC875">
            <w:pPr>
              <w:pStyle w:val="234"/>
              <w:jc w:val="both"/>
              <w:rPr>
                <w:rFonts w:ascii="Times New Roman" w:hAnsi="Times New Roman"/>
                <w:sz w:val="24"/>
              </w:rPr>
            </w:pPr>
          </w:p>
        </w:tc>
        <w:tc>
          <w:tcPr>
            <w:tcW w:w="1229" w:type="dxa"/>
            <w:vAlign w:val="center"/>
          </w:tcPr>
          <w:p w14:paraId="2D807275">
            <w:pPr>
              <w:pStyle w:val="234"/>
              <w:jc w:val="both"/>
              <w:rPr>
                <w:rFonts w:ascii="Times New Roman" w:hAnsi="Times New Roman"/>
                <w:sz w:val="24"/>
              </w:rPr>
            </w:pPr>
          </w:p>
        </w:tc>
      </w:tr>
      <w:tr w14:paraId="37802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1161D331">
            <w:pPr>
              <w:pStyle w:val="234"/>
              <w:jc w:val="both"/>
              <w:rPr>
                <w:rFonts w:ascii="Times New Roman" w:hAnsi="Times New Roman"/>
                <w:sz w:val="24"/>
              </w:rPr>
            </w:pPr>
          </w:p>
        </w:tc>
        <w:tc>
          <w:tcPr>
            <w:tcW w:w="1138" w:type="dxa"/>
            <w:vAlign w:val="center"/>
          </w:tcPr>
          <w:p w14:paraId="4A99407C">
            <w:pPr>
              <w:pStyle w:val="234"/>
              <w:jc w:val="both"/>
              <w:rPr>
                <w:rFonts w:ascii="Times New Roman" w:hAnsi="Times New Roman"/>
                <w:sz w:val="24"/>
              </w:rPr>
            </w:pPr>
          </w:p>
        </w:tc>
        <w:tc>
          <w:tcPr>
            <w:tcW w:w="1278" w:type="dxa"/>
            <w:vAlign w:val="center"/>
          </w:tcPr>
          <w:p w14:paraId="00F7FA0B">
            <w:pPr>
              <w:pStyle w:val="234"/>
              <w:jc w:val="both"/>
              <w:rPr>
                <w:rFonts w:ascii="Times New Roman" w:hAnsi="Times New Roman"/>
                <w:sz w:val="24"/>
              </w:rPr>
            </w:pPr>
          </w:p>
        </w:tc>
        <w:tc>
          <w:tcPr>
            <w:tcW w:w="1275" w:type="dxa"/>
            <w:vAlign w:val="center"/>
          </w:tcPr>
          <w:p w14:paraId="05E0A033">
            <w:pPr>
              <w:pStyle w:val="234"/>
              <w:jc w:val="both"/>
              <w:rPr>
                <w:rFonts w:ascii="Times New Roman" w:hAnsi="Times New Roman"/>
                <w:sz w:val="24"/>
              </w:rPr>
            </w:pPr>
          </w:p>
        </w:tc>
        <w:tc>
          <w:tcPr>
            <w:tcW w:w="1703" w:type="dxa"/>
            <w:vAlign w:val="center"/>
          </w:tcPr>
          <w:p w14:paraId="7ACC1A9F">
            <w:pPr>
              <w:pStyle w:val="234"/>
              <w:jc w:val="both"/>
              <w:rPr>
                <w:rFonts w:ascii="Times New Roman" w:hAnsi="Times New Roman"/>
                <w:sz w:val="24"/>
              </w:rPr>
            </w:pPr>
          </w:p>
        </w:tc>
        <w:tc>
          <w:tcPr>
            <w:tcW w:w="1698" w:type="dxa"/>
            <w:vAlign w:val="center"/>
          </w:tcPr>
          <w:p w14:paraId="6061EECE">
            <w:pPr>
              <w:pStyle w:val="234"/>
              <w:jc w:val="both"/>
              <w:rPr>
                <w:rFonts w:ascii="Times New Roman" w:hAnsi="Times New Roman"/>
                <w:sz w:val="24"/>
              </w:rPr>
            </w:pPr>
          </w:p>
        </w:tc>
        <w:tc>
          <w:tcPr>
            <w:tcW w:w="1229" w:type="dxa"/>
            <w:vAlign w:val="center"/>
          </w:tcPr>
          <w:p w14:paraId="5327A998">
            <w:pPr>
              <w:pStyle w:val="234"/>
              <w:jc w:val="both"/>
              <w:rPr>
                <w:rFonts w:ascii="Times New Roman" w:hAnsi="Times New Roman"/>
                <w:sz w:val="24"/>
              </w:rPr>
            </w:pPr>
          </w:p>
        </w:tc>
      </w:tr>
      <w:tr w14:paraId="6E3A6A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58D160CA">
            <w:pPr>
              <w:pStyle w:val="234"/>
              <w:jc w:val="both"/>
              <w:rPr>
                <w:rFonts w:ascii="Times New Roman" w:hAnsi="Times New Roman"/>
                <w:sz w:val="24"/>
              </w:rPr>
            </w:pPr>
          </w:p>
        </w:tc>
        <w:tc>
          <w:tcPr>
            <w:tcW w:w="1138" w:type="dxa"/>
            <w:vAlign w:val="center"/>
          </w:tcPr>
          <w:p w14:paraId="08137FA4">
            <w:pPr>
              <w:pStyle w:val="234"/>
              <w:jc w:val="both"/>
              <w:rPr>
                <w:rFonts w:ascii="Times New Roman" w:hAnsi="Times New Roman"/>
                <w:sz w:val="24"/>
              </w:rPr>
            </w:pPr>
          </w:p>
        </w:tc>
        <w:tc>
          <w:tcPr>
            <w:tcW w:w="1278" w:type="dxa"/>
            <w:vAlign w:val="center"/>
          </w:tcPr>
          <w:p w14:paraId="7CFE68CE">
            <w:pPr>
              <w:pStyle w:val="234"/>
              <w:jc w:val="both"/>
              <w:rPr>
                <w:rFonts w:ascii="Times New Roman" w:hAnsi="Times New Roman"/>
                <w:sz w:val="24"/>
              </w:rPr>
            </w:pPr>
          </w:p>
        </w:tc>
        <w:tc>
          <w:tcPr>
            <w:tcW w:w="1275" w:type="dxa"/>
            <w:vAlign w:val="center"/>
          </w:tcPr>
          <w:p w14:paraId="3327AD2B">
            <w:pPr>
              <w:pStyle w:val="234"/>
              <w:jc w:val="both"/>
              <w:rPr>
                <w:rFonts w:ascii="Times New Roman" w:hAnsi="Times New Roman"/>
                <w:sz w:val="24"/>
              </w:rPr>
            </w:pPr>
          </w:p>
        </w:tc>
        <w:tc>
          <w:tcPr>
            <w:tcW w:w="1703" w:type="dxa"/>
            <w:vAlign w:val="center"/>
          </w:tcPr>
          <w:p w14:paraId="412669B6">
            <w:pPr>
              <w:pStyle w:val="234"/>
              <w:jc w:val="both"/>
              <w:rPr>
                <w:rFonts w:ascii="Times New Roman" w:hAnsi="Times New Roman"/>
                <w:sz w:val="24"/>
              </w:rPr>
            </w:pPr>
          </w:p>
        </w:tc>
        <w:tc>
          <w:tcPr>
            <w:tcW w:w="1698" w:type="dxa"/>
            <w:vAlign w:val="center"/>
          </w:tcPr>
          <w:p w14:paraId="24F78458">
            <w:pPr>
              <w:pStyle w:val="234"/>
              <w:jc w:val="both"/>
              <w:rPr>
                <w:rFonts w:ascii="Times New Roman" w:hAnsi="Times New Roman"/>
                <w:sz w:val="24"/>
              </w:rPr>
            </w:pPr>
          </w:p>
        </w:tc>
        <w:tc>
          <w:tcPr>
            <w:tcW w:w="1229" w:type="dxa"/>
            <w:vAlign w:val="center"/>
          </w:tcPr>
          <w:p w14:paraId="48BC2163">
            <w:pPr>
              <w:pStyle w:val="234"/>
              <w:jc w:val="both"/>
              <w:rPr>
                <w:rFonts w:ascii="Times New Roman" w:hAnsi="Times New Roman"/>
                <w:sz w:val="24"/>
              </w:rPr>
            </w:pPr>
          </w:p>
        </w:tc>
      </w:tr>
      <w:tr w14:paraId="7DB22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40" w:type="dxa"/>
            <w:vAlign w:val="center"/>
          </w:tcPr>
          <w:p w14:paraId="2112713B">
            <w:pPr>
              <w:pStyle w:val="234"/>
              <w:jc w:val="both"/>
              <w:rPr>
                <w:rFonts w:ascii="Times New Roman" w:hAnsi="Times New Roman"/>
                <w:sz w:val="24"/>
              </w:rPr>
            </w:pPr>
          </w:p>
        </w:tc>
        <w:tc>
          <w:tcPr>
            <w:tcW w:w="1138" w:type="dxa"/>
            <w:vAlign w:val="center"/>
          </w:tcPr>
          <w:p w14:paraId="46B1BB52">
            <w:pPr>
              <w:pStyle w:val="234"/>
              <w:jc w:val="both"/>
              <w:rPr>
                <w:rFonts w:ascii="Times New Roman" w:hAnsi="Times New Roman"/>
                <w:sz w:val="24"/>
              </w:rPr>
            </w:pPr>
          </w:p>
        </w:tc>
        <w:tc>
          <w:tcPr>
            <w:tcW w:w="1278" w:type="dxa"/>
            <w:vAlign w:val="center"/>
          </w:tcPr>
          <w:p w14:paraId="5B32E8DD">
            <w:pPr>
              <w:pStyle w:val="234"/>
              <w:jc w:val="both"/>
              <w:rPr>
                <w:rFonts w:ascii="Times New Roman" w:hAnsi="Times New Roman"/>
                <w:sz w:val="24"/>
              </w:rPr>
            </w:pPr>
          </w:p>
        </w:tc>
        <w:tc>
          <w:tcPr>
            <w:tcW w:w="1275" w:type="dxa"/>
            <w:vAlign w:val="center"/>
          </w:tcPr>
          <w:p w14:paraId="7C9D5718">
            <w:pPr>
              <w:pStyle w:val="234"/>
              <w:jc w:val="both"/>
              <w:rPr>
                <w:rFonts w:ascii="Times New Roman" w:hAnsi="Times New Roman"/>
                <w:sz w:val="24"/>
              </w:rPr>
            </w:pPr>
          </w:p>
        </w:tc>
        <w:tc>
          <w:tcPr>
            <w:tcW w:w="1703" w:type="dxa"/>
            <w:vAlign w:val="center"/>
          </w:tcPr>
          <w:p w14:paraId="6371502B">
            <w:pPr>
              <w:pStyle w:val="234"/>
              <w:jc w:val="both"/>
              <w:rPr>
                <w:rFonts w:ascii="Times New Roman" w:hAnsi="Times New Roman"/>
                <w:sz w:val="24"/>
              </w:rPr>
            </w:pPr>
          </w:p>
        </w:tc>
        <w:tc>
          <w:tcPr>
            <w:tcW w:w="1698" w:type="dxa"/>
            <w:vAlign w:val="center"/>
          </w:tcPr>
          <w:p w14:paraId="50947E3F">
            <w:pPr>
              <w:pStyle w:val="234"/>
              <w:jc w:val="both"/>
              <w:rPr>
                <w:rFonts w:ascii="Times New Roman" w:hAnsi="Times New Roman"/>
                <w:sz w:val="24"/>
              </w:rPr>
            </w:pPr>
          </w:p>
        </w:tc>
        <w:tc>
          <w:tcPr>
            <w:tcW w:w="1229" w:type="dxa"/>
            <w:vAlign w:val="center"/>
          </w:tcPr>
          <w:p w14:paraId="52144081">
            <w:pPr>
              <w:pStyle w:val="234"/>
              <w:jc w:val="both"/>
              <w:rPr>
                <w:rFonts w:ascii="Times New Roman" w:hAnsi="Times New Roman"/>
                <w:sz w:val="24"/>
              </w:rPr>
            </w:pPr>
          </w:p>
        </w:tc>
      </w:tr>
      <w:tr w14:paraId="3AC961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9161" w:type="dxa"/>
            <w:gridSpan w:val="7"/>
            <w:vAlign w:val="center"/>
          </w:tcPr>
          <w:p w14:paraId="3A5C9CD6">
            <w:pPr>
              <w:pStyle w:val="13"/>
              <w:rPr>
                <w:rFonts w:hint="eastAsia"/>
              </w:rPr>
            </w:pPr>
            <w:r>
              <w:t>操作人：</w:t>
            </w:r>
            <w:r>
              <w:rPr>
                <w:rFonts w:hint="eastAsia"/>
              </w:rPr>
              <w:t xml:space="preserve">          </w:t>
            </w:r>
            <w:r>
              <w:tab/>
            </w:r>
            <w:r>
              <w:t>记录人：</w:t>
            </w:r>
            <w:r>
              <w:rPr>
                <w:rFonts w:hint="eastAsia"/>
              </w:rPr>
              <w:t xml:space="preserve">             </w:t>
            </w:r>
            <w:r>
              <w:tab/>
            </w:r>
            <w:r>
              <w:t>日 期：</w:t>
            </w:r>
            <w:r>
              <w:rPr>
                <w:rFonts w:hint="eastAsia"/>
              </w:rPr>
              <w:t xml:space="preserve">               </w:t>
            </w:r>
            <w:r>
              <w:t>第</w:t>
            </w:r>
            <w:r>
              <w:tab/>
            </w:r>
            <w:r>
              <w:t>页</w:t>
            </w:r>
            <w:r>
              <w:rPr>
                <w:rFonts w:eastAsia="Times New Roman"/>
              </w:rPr>
              <w:t>/</w:t>
            </w:r>
            <w:r>
              <w:t>共</w:t>
            </w:r>
            <w:r>
              <w:tab/>
            </w:r>
            <w:r>
              <w:t>页</w:t>
            </w:r>
          </w:p>
        </w:tc>
      </w:tr>
      <w:bookmarkEnd w:id="23"/>
    </w:tbl>
    <w:p w14:paraId="646AD351">
      <w:pPr>
        <w:rPr>
          <w:rFonts w:hint="eastAsia" w:ascii="Times New Roman" w:eastAsia="宋体"/>
          <w:spacing w:val="-11"/>
          <w:lang w:eastAsia="zh-CN"/>
        </w:rPr>
      </w:pPr>
      <w:r>
        <w:rPr>
          <w:rFonts w:hint="eastAsia" w:ascii="Times New Roman" w:eastAsia="宋体"/>
          <w:spacing w:val="-11"/>
          <w:lang w:eastAsia="zh-CN"/>
        </w:rPr>
        <w:br w:type="page"/>
      </w:r>
    </w:p>
    <w:p w14:paraId="592AC711">
      <w:pPr>
        <w:pStyle w:val="64"/>
        <w:spacing w:before="124" w:after="156"/>
      </w:pPr>
      <w:bookmarkStart w:id="74" w:name="_Toc199147443"/>
      <w:r>
        <w:rPr>
          <w:rFonts w:hint="eastAsia"/>
          <w:spacing w:val="105"/>
        </w:rPr>
        <w:t>参考文</w:t>
      </w:r>
      <w:r>
        <w:rPr>
          <w:rFonts w:hint="eastAsia"/>
        </w:rPr>
        <w:t>献</w:t>
      </w:r>
      <w:bookmarkEnd w:id="74"/>
    </w:p>
    <w:p w14:paraId="362611A0">
      <w:pPr>
        <w:pStyle w:val="57"/>
        <w:ind w:firstLine="420"/>
      </w:pPr>
      <w:r>
        <w:rPr>
          <w:rFonts w:hint="eastAsia"/>
        </w:rPr>
        <w:t>[1]　DB15∕T 2617-2022 公路路基路面三维探地雷达检测规程</w:t>
      </w:r>
    </w:p>
    <w:p w14:paraId="6D7EF25A">
      <w:pPr>
        <w:pStyle w:val="57"/>
        <w:ind w:firstLine="420"/>
      </w:pPr>
      <w:r>
        <w:rPr>
          <w:rFonts w:hint="eastAsia"/>
        </w:rPr>
        <w:t>[2]　DB37∕T 5122-2018 探地雷达测定道路结构层厚度技术规程</w:t>
      </w:r>
    </w:p>
    <w:p w14:paraId="193A1E9B">
      <w:pPr>
        <w:pStyle w:val="57"/>
        <w:ind w:firstLine="420"/>
        <w:rPr>
          <w:rFonts w:hint="eastAsia"/>
        </w:rPr>
      </w:pPr>
      <w:r>
        <w:rPr>
          <w:rFonts w:hint="eastAsia"/>
        </w:rPr>
        <w:t>[3]　DB45/T 2524-2022 高速公路沥青路面施工技术规范</w:t>
      </w:r>
    </w:p>
    <w:p w14:paraId="1C233B76">
      <w:pPr>
        <w:pStyle w:val="57"/>
        <w:ind w:firstLine="0" w:firstLineChars="0"/>
        <w:jc w:val="center"/>
      </w:pPr>
      <w:bookmarkStart w:id="76" w:name="_GoBack"/>
      <w:bookmarkEnd w:id="76"/>
      <w:bookmarkStart w:id="75" w:name="BookMark8"/>
      <w:r>
        <w:drawing>
          <wp:inline distT="0" distB="0" distL="0" distR="0">
            <wp:extent cx="1485900" cy="317500"/>
            <wp:effectExtent l="0" t="0" r="0" b="635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4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p w14:paraId="213DF7B0">
      <w:pPr>
        <w:pStyle w:val="57"/>
        <w:ind w:firstLine="376"/>
        <w:rPr>
          <w:rFonts w:hint="eastAsia" w:ascii="Times New Roman" w:eastAsia="宋体"/>
          <w:spacing w:val="-11"/>
          <w:lang w:eastAsia="zh-CN"/>
        </w:rPr>
      </w:pPr>
    </w:p>
    <w:sectPr>
      <w:headerReference r:id="rId14" w:type="default"/>
      <w:footerReference r:id="rId15" w:type="default"/>
      <w:pgSz w:w="11906" w:h="16838"/>
      <w:pgMar w:top="567"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D49A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6B48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32A3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A24A5">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EE235">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7C323">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A113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8EE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2889">
    <w:pPr>
      <w:pStyle w:val="62"/>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5322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37/T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59001">
    <w:pPr>
      <w:pStyle w:val="62"/>
      <w:rPr>
        <w:rFonts w:hint="eastAsia"/>
      </w:rPr>
    </w:pPr>
    <w:r>
      <w:fldChar w:fldCharType="begin"/>
    </w:r>
    <w:r>
      <w:instrText xml:space="preserve"> STYLEREF  标准文件_文件编号  \* MERGEFORMAT </w:instrText>
    </w:r>
    <w:r>
      <w:fldChar w:fldCharType="separate"/>
    </w:r>
    <w:r>
      <w:t>DB 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FA43B77"/>
    <w:multiLevelType w:val="singleLevel"/>
    <w:tmpl w:val="0FA43B77"/>
    <w:lvl w:ilvl="0" w:tentative="0">
      <w:start w:val="1"/>
      <w:numFmt w:val="lowerLetter"/>
      <w:suff w:val="nothing"/>
      <w:lvlText w:val="%1）"/>
      <w:lvlJc w:val="left"/>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5885D26"/>
    <w:multiLevelType w:val="singleLevel"/>
    <w:tmpl w:val="55885D26"/>
    <w:lvl w:ilvl="0" w:tentative="0">
      <w:start w:val="1"/>
      <w:numFmt w:val="lowerLetter"/>
      <w:suff w:val="nothing"/>
      <w:lvlText w:val="%1）"/>
      <w:lvlJc w:val="left"/>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340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71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9"/>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1"/>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attachedTemplate r:id="rId1"/>
  <w:documentProtection w:edit="forms" w:enforcement="1" w:cryptProviderType="rsaFull" w:cryptAlgorithmClass="hash" w:cryptAlgorithmType="typeAny" w:cryptAlgorithmSid="4" w:cryptSpinCount="100000" w:hash="Nh6na8i9IN63p2dPyGSAhq8jbaA=" w:salt="5V4jbv/0mEFCWavKGw1BR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wYjYzMmQ3MjY4ZmM4YTEwN2ZmMDZjMjI2OGY3NTYifQ=="/>
  </w:docVars>
  <w:rsids>
    <w:rsidRoot w:val="00901930"/>
    <w:rsid w:val="0000040A"/>
    <w:rsid w:val="00000A94"/>
    <w:rsid w:val="00001972"/>
    <w:rsid w:val="00001D9A"/>
    <w:rsid w:val="00007B3A"/>
    <w:rsid w:val="000107E0"/>
    <w:rsid w:val="00011FDE"/>
    <w:rsid w:val="00012D5B"/>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4A6"/>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F9"/>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9DF"/>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50F"/>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E15"/>
    <w:rsid w:val="00164FA8"/>
    <w:rsid w:val="00165065"/>
    <w:rsid w:val="00165434"/>
    <w:rsid w:val="0016580B"/>
    <w:rsid w:val="00165F49"/>
    <w:rsid w:val="00166B88"/>
    <w:rsid w:val="0016770A"/>
    <w:rsid w:val="00170804"/>
    <w:rsid w:val="001708E9"/>
    <w:rsid w:val="0017217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F4A"/>
    <w:rsid w:val="001C680C"/>
    <w:rsid w:val="001C7FEA"/>
    <w:rsid w:val="001D0499"/>
    <w:rsid w:val="001D0BBE"/>
    <w:rsid w:val="001D0D03"/>
    <w:rsid w:val="001D0ED4"/>
    <w:rsid w:val="001D11BB"/>
    <w:rsid w:val="001D212F"/>
    <w:rsid w:val="001D29D7"/>
    <w:rsid w:val="001D2DE7"/>
    <w:rsid w:val="001D411C"/>
    <w:rsid w:val="001D7776"/>
    <w:rsid w:val="001E1B6A"/>
    <w:rsid w:val="001E2484"/>
    <w:rsid w:val="001E3CC4"/>
    <w:rsid w:val="001E4882"/>
    <w:rsid w:val="001E73AB"/>
    <w:rsid w:val="001F092D"/>
    <w:rsid w:val="001F143A"/>
    <w:rsid w:val="001F1605"/>
    <w:rsid w:val="001F1D0E"/>
    <w:rsid w:val="001F2508"/>
    <w:rsid w:val="001F4816"/>
    <w:rsid w:val="001F4EE9"/>
    <w:rsid w:val="001F69B4"/>
    <w:rsid w:val="001F77C7"/>
    <w:rsid w:val="00200183"/>
    <w:rsid w:val="00200333"/>
    <w:rsid w:val="0020107D"/>
    <w:rsid w:val="0020259A"/>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4C"/>
    <w:rsid w:val="00262696"/>
    <w:rsid w:val="00263D25"/>
    <w:rsid w:val="002643C3"/>
    <w:rsid w:val="00264A0C"/>
    <w:rsid w:val="00266EEB"/>
    <w:rsid w:val="00267EF4"/>
    <w:rsid w:val="00270CB8"/>
    <w:rsid w:val="00272B08"/>
    <w:rsid w:val="00281BB8"/>
    <w:rsid w:val="00281E9E"/>
    <w:rsid w:val="00282405"/>
    <w:rsid w:val="00285170"/>
    <w:rsid w:val="00285361"/>
    <w:rsid w:val="00287EE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D00"/>
    <w:rsid w:val="002C3F07"/>
    <w:rsid w:val="002C5278"/>
    <w:rsid w:val="002C7EBB"/>
    <w:rsid w:val="002D06C1"/>
    <w:rsid w:val="002D42B5"/>
    <w:rsid w:val="002D4F1A"/>
    <w:rsid w:val="002D6EC6"/>
    <w:rsid w:val="002D79AC"/>
    <w:rsid w:val="002E039D"/>
    <w:rsid w:val="002E1533"/>
    <w:rsid w:val="002E4D5A"/>
    <w:rsid w:val="002E6326"/>
    <w:rsid w:val="002F30E0"/>
    <w:rsid w:val="002F35E4"/>
    <w:rsid w:val="002F3730"/>
    <w:rsid w:val="002F38E1"/>
    <w:rsid w:val="002F7AF6"/>
    <w:rsid w:val="00300E63"/>
    <w:rsid w:val="00302F5F"/>
    <w:rsid w:val="0030441D"/>
    <w:rsid w:val="00306063"/>
    <w:rsid w:val="00310620"/>
    <w:rsid w:val="00313B85"/>
    <w:rsid w:val="00317988"/>
    <w:rsid w:val="003221B4"/>
    <w:rsid w:val="0032258D"/>
    <w:rsid w:val="00322E62"/>
    <w:rsid w:val="00324D13"/>
    <w:rsid w:val="00324D2A"/>
    <w:rsid w:val="00324EDD"/>
    <w:rsid w:val="00327456"/>
    <w:rsid w:val="003331E4"/>
    <w:rsid w:val="00336C64"/>
    <w:rsid w:val="00337162"/>
    <w:rsid w:val="00341809"/>
    <w:rsid w:val="0034194F"/>
    <w:rsid w:val="00344605"/>
    <w:rsid w:val="00346824"/>
    <w:rsid w:val="003474AA"/>
    <w:rsid w:val="003500D1"/>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7B72"/>
    <w:rsid w:val="00381815"/>
    <w:rsid w:val="003819AF"/>
    <w:rsid w:val="003820E9"/>
    <w:rsid w:val="003823C7"/>
    <w:rsid w:val="00382DE7"/>
    <w:rsid w:val="00384FFC"/>
    <w:rsid w:val="003872FC"/>
    <w:rsid w:val="00387ADC"/>
    <w:rsid w:val="00387B41"/>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E5B"/>
    <w:rsid w:val="003C5A43"/>
    <w:rsid w:val="003D0519"/>
    <w:rsid w:val="003D0FF6"/>
    <w:rsid w:val="003D262C"/>
    <w:rsid w:val="003D6D61"/>
    <w:rsid w:val="003E091D"/>
    <w:rsid w:val="003E1C53"/>
    <w:rsid w:val="003E1CF8"/>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F9D"/>
    <w:rsid w:val="004167A3"/>
    <w:rsid w:val="00432DAA"/>
    <w:rsid w:val="00434305"/>
    <w:rsid w:val="00435DF7"/>
    <w:rsid w:val="0044083F"/>
    <w:rsid w:val="00441AE7"/>
    <w:rsid w:val="00445574"/>
    <w:rsid w:val="004467FB"/>
    <w:rsid w:val="00452D6B"/>
    <w:rsid w:val="00454484"/>
    <w:rsid w:val="0045517B"/>
    <w:rsid w:val="00457452"/>
    <w:rsid w:val="00463B77"/>
    <w:rsid w:val="00463C7B"/>
    <w:rsid w:val="004644A6"/>
    <w:rsid w:val="004659BD"/>
    <w:rsid w:val="00470775"/>
    <w:rsid w:val="004746B1"/>
    <w:rsid w:val="0047583F"/>
    <w:rsid w:val="00475DE8"/>
    <w:rsid w:val="00481C44"/>
    <w:rsid w:val="004845CA"/>
    <w:rsid w:val="00484936"/>
    <w:rsid w:val="00485C89"/>
    <w:rsid w:val="00486BE3"/>
    <w:rsid w:val="004905E4"/>
    <w:rsid w:val="00490A89"/>
    <w:rsid w:val="00490AB4"/>
    <w:rsid w:val="00492F02"/>
    <w:rsid w:val="004939AE"/>
    <w:rsid w:val="00495BBF"/>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822"/>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2E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695"/>
    <w:rsid w:val="005E2335"/>
    <w:rsid w:val="005E34CA"/>
    <w:rsid w:val="005E3C18"/>
    <w:rsid w:val="005E41C6"/>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863"/>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1825"/>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045"/>
    <w:rsid w:val="007322D9"/>
    <w:rsid w:val="00732BC0"/>
    <w:rsid w:val="0073720F"/>
    <w:rsid w:val="00737796"/>
    <w:rsid w:val="00737B52"/>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180"/>
    <w:rsid w:val="00755402"/>
    <w:rsid w:val="007558B3"/>
    <w:rsid w:val="00756B26"/>
    <w:rsid w:val="00756EDF"/>
    <w:rsid w:val="007600E3"/>
    <w:rsid w:val="00765C43"/>
    <w:rsid w:val="00765EFB"/>
    <w:rsid w:val="007671CA"/>
    <w:rsid w:val="00767C61"/>
    <w:rsid w:val="0077008A"/>
    <w:rsid w:val="0077069D"/>
    <w:rsid w:val="00771987"/>
    <w:rsid w:val="00773C1F"/>
    <w:rsid w:val="00774DA4"/>
    <w:rsid w:val="00776599"/>
    <w:rsid w:val="007767BB"/>
    <w:rsid w:val="0078114B"/>
    <w:rsid w:val="00781DD2"/>
    <w:rsid w:val="00783ECF"/>
    <w:rsid w:val="0078413A"/>
    <w:rsid w:val="007959E8"/>
    <w:rsid w:val="00795E9C"/>
    <w:rsid w:val="007A0521"/>
    <w:rsid w:val="007A275F"/>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F7B"/>
    <w:rsid w:val="00811072"/>
    <w:rsid w:val="00811369"/>
    <w:rsid w:val="00815419"/>
    <w:rsid w:val="008163C8"/>
    <w:rsid w:val="008164A1"/>
    <w:rsid w:val="00817325"/>
    <w:rsid w:val="008209E6"/>
    <w:rsid w:val="00821CA2"/>
    <w:rsid w:val="00823303"/>
    <w:rsid w:val="008233B2"/>
    <w:rsid w:val="00823A9F"/>
    <w:rsid w:val="00823C85"/>
    <w:rsid w:val="00824CAC"/>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FD6"/>
    <w:rsid w:val="00883F93"/>
    <w:rsid w:val="00884DB3"/>
    <w:rsid w:val="00885A9D"/>
    <w:rsid w:val="008864F6"/>
    <w:rsid w:val="0089049D"/>
    <w:rsid w:val="008928C9"/>
    <w:rsid w:val="008930CB"/>
    <w:rsid w:val="008938DC"/>
    <w:rsid w:val="00893FD1"/>
    <w:rsid w:val="00894836"/>
    <w:rsid w:val="00895172"/>
    <w:rsid w:val="00895680"/>
    <w:rsid w:val="00896DCA"/>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E24"/>
    <w:rsid w:val="008D0CE8"/>
    <w:rsid w:val="008D2D1D"/>
    <w:rsid w:val="008D453D"/>
    <w:rsid w:val="008D53AD"/>
    <w:rsid w:val="008D562B"/>
    <w:rsid w:val="008D5733"/>
    <w:rsid w:val="008D622B"/>
    <w:rsid w:val="008D666C"/>
    <w:rsid w:val="008D720D"/>
    <w:rsid w:val="008D7B54"/>
    <w:rsid w:val="008E0C9D"/>
    <w:rsid w:val="008E1648"/>
    <w:rsid w:val="008E1B3E"/>
    <w:rsid w:val="008E2319"/>
    <w:rsid w:val="008E4AB0"/>
    <w:rsid w:val="008E4BB6"/>
    <w:rsid w:val="008E5518"/>
    <w:rsid w:val="008E6A84"/>
    <w:rsid w:val="008F0CDC"/>
    <w:rsid w:val="008F17A3"/>
    <w:rsid w:val="008F1ED3"/>
    <w:rsid w:val="008F23A5"/>
    <w:rsid w:val="008F4C29"/>
    <w:rsid w:val="008F70BD"/>
    <w:rsid w:val="008F788F"/>
    <w:rsid w:val="008F7910"/>
    <w:rsid w:val="008F7EA2"/>
    <w:rsid w:val="00901930"/>
    <w:rsid w:val="00902722"/>
    <w:rsid w:val="009027BC"/>
    <w:rsid w:val="00903975"/>
    <w:rsid w:val="009062E6"/>
    <w:rsid w:val="00911BE5"/>
    <w:rsid w:val="009128B2"/>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55A"/>
    <w:rsid w:val="009674AD"/>
    <w:rsid w:val="00970CDC"/>
    <w:rsid w:val="00974196"/>
    <w:rsid w:val="00977010"/>
    <w:rsid w:val="00977D02"/>
    <w:rsid w:val="009809BB"/>
    <w:rsid w:val="0098364B"/>
    <w:rsid w:val="00985752"/>
    <w:rsid w:val="009911AF"/>
    <w:rsid w:val="00991875"/>
    <w:rsid w:val="00991F92"/>
    <w:rsid w:val="00992985"/>
    <w:rsid w:val="00993251"/>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58E1"/>
    <w:rsid w:val="009D112C"/>
    <w:rsid w:val="009D47FA"/>
    <w:rsid w:val="009D4C5B"/>
    <w:rsid w:val="009D50D2"/>
    <w:rsid w:val="009D6BCA"/>
    <w:rsid w:val="009E0F62"/>
    <w:rsid w:val="009E4A58"/>
    <w:rsid w:val="009E5A2D"/>
    <w:rsid w:val="009E5AB2"/>
    <w:rsid w:val="009E6219"/>
    <w:rsid w:val="009E70F5"/>
    <w:rsid w:val="009F03B3"/>
    <w:rsid w:val="00A0096C"/>
    <w:rsid w:val="00A01757"/>
    <w:rsid w:val="00A028C0"/>
    <w:rsid w:val="00A02BAE"/>
    <w:rsid w:val="00A06A6B"/>
    <w:rsid w:val="00A06CD8"/>
    <w:rsid w:val="00A06D9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817"/>
    <w:rsid w:val="00A41C79"/>
    <w:rsid w:val="00A41CB5"/>
    <w:rsid w:val="00A42CDF"/>
    <w:rsid w:val="00A4452E"/>
    <w:rsid w:val="00A4472C"/>
    <w:rsid w:val="00A44E69"/>
    <w:rsid w:val="00A4661E"/>
    <w:rsid w:val="00A55BD6"/>
    <w:rsid w:val="00A55D50"/>
    <w:rsid w:val="00A57142"/>
    <w:rsid w:val="00A648CD"/>
    <w:rsid w:val="00A6537A"/>
    <w:rsid w:val="00A653BC"/>
    <w:rsid w:val="00A67866"/>
    <w:rsid w:val="00A70B07"/>
    <w:rsid w:val="00A723F8"/>
    <w:rsid w:val="00A77CCB"/>
    <w:rsid w:val="00A83D8D"/>
    <w:rsid w:val="00A8446B"/>
    <w:rsid w:val="00A8473F"/>
    <w:rsid w:val="00A862D6"/>
    <w:rsid w:val="00A864C3"/>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9EB"/>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E16"/>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EC0"/>
    <w:rsid w:val="00C55232"/>
    <w:rsid w:val="00C553A4"/>
    <w:rsid w:val="00C55A06"/>
    <w:rsid w:val="00C55D03"/>
    <w:rsid w:val="00C601BC"/>
    <w:rsid w:val="00C6329F"/>
    <w:rsid w:val="00C63340"/>
    <w:rsid w:val="00C643F9"/>
    <w:rsid w:val="00C64E95"/>
    <w:rsid w:val="00C71372"/>
    <w:rsid w:val="00C72410"/>
    <w:rsid w:val="00C7287F"/>
    <w:rsid w:val="00C73E7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4F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88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6C0C"/>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D92"/>
    <w:rsid w:val="00D675FB"/>
    <w:rsid w:val="00D71F25"/>
    <w:rsid w:val="00D72A9C"/>
    <w:rsid w:val="00D77031"/>
    <w:rsid w:val="00D771D2"/>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6DC"/>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290"/>
    <w:rsid w:val="00E664CC"/>
    <w:rsid w:val="00E66AB8"/>
    <w:rsid w:val="00E70388"/>
    <w:rsid w:val="00E70F92"/>
    <w:rsid w:val="00E74C54"/>
    <w:rsid w:val="00E77A03"/>
    <w:rsid w:val="00E822E8"/>
    <w:rsid w:val="00E82554"/>
    <w:rsid w:val="00E82606"/>
    <w:rsid w:val="00E839DB"/>
    <w:rsid w:val="00E846C8"/>
    <w:rsid w:val="00E84957"/>
    <w:rsid w:val="00E84A55"/>
    <w:rsid w:val="00E85BFF"/>
    <w:rsid w:val="00E90391"/>
    <w:rsid w:val="00E906C2"/>
    <w:rsid w:val="00E9311F"/>
    <w:rsid w:val="00E934D1"/>
    <w:rsid w:val="00E94AF0"/>
    <w:rsid w:val="00E95D13"/>
    <w:rsid w:val="00E95DD3"/>
    <w:rsid w:val="00E969D5"/>
    <w:rsid w:val="00EA0DD4"/>
    <w:rsid w:val="00EA58D1"/>
    <w:rsid w:val="00EA61BC"/>
    <w:rsid w:val="00EA681A"/>
    <w:rsid w:val="00EA735B"/>
    <w:rsid w:val="00EB17DE"/>
    <w:rsid w:val="00EB1E5A"/>
    <w:rsid w:val="00EB1E69"/>
    <w:rsid w:val="00EB2086"/>
    <w:rsid w:val="00EB5EDF"/>
    <w:rsid w:val="00EB60FE"/>
    <w:rsid w:val="00EB74DB"/>
    <w:rsid w:val="00EC5359"/>
    <w:rsid w:val="00EC562A"/>
    <w:rsid w:val="00EC6FF6"/>
    <w:rsid w:val="00ED067A"/>
    <w:rsid w:val="00ED15F4"/>
    <w:rsid w:val="00ED2381"/>
    <w:rsid w:val="00ED2B50"/>
    <w:rsid w:val="00EE0350"/>
    <w:rsid w:val="00EE0719"/>
    <w:rsid w:val="00EE0E80"/>
    <w:rsid w:val="00EE54A6"/>
    <w:rsid w:val="00EE613F"/>
    <w:rsid w:val="00EE7295"/>
    <w:rsid w:val="00EE7869"/>
    <w:rsid w:val="00EF054A"/>
    <w:rsid w:val="00EF3235"/>
    <w:rsid w:val="00EF6933"/>
    <w:rsid w:val="00EF7E72"/>
    <w:rsid w:val="00F00D96"/>
    <w:rsid w:val="00F02E5F"/>
    <w:rsid w:val="00F06D37"/>
    <w:rsid w:val="00F07B9D"/>
    <w:rsid w:val="00F11586"/>
    <w:rsid w:val="00F1183B"/>
    <w:rsid w:val="00F11C9F"/>
    <w:rsid w:val="00F12263"/>
    <w:rsid w:val="00F1409D"/>
    <w:rsid w:val="00F14214"/>
    <w:rsid w:val="00F157A9"/>
    <w:rsid w:val="00F23CD1"/>
    <w:rsid w:val="00F25BB6"/>
    <w:rsid w:val="00F26B7E"/>
    <w:rsid w:val="00F27A3B"/>
    <w:rsid w:val="00F33817"/>
    <w:rsid w:val="00F4003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FF1"/>
    <w:rsid w:val="00F81141"/>
    <w:rsid w:val="00F82719"/>
    <w:rsid w:val="00F833BA"/>
    <w:rsid w:val="00F84907"/>
    <w:rsid w:val="00F84FD0"/>
    <w:rsid w:val="00F859A8"/>
    <w:rsid w:val="00F86D87"/>
    <w:rsid w:val="00F9108B"/>
    <w:rsid w:val="00F91349"/>
    <w:rsid w:val="00F93A8A"/>
    <w:rsid w:val="00F95248"/>
    <w:rsid w:val="00F956A9"/>
    <w:rsid w:val="00F963ED"/>
    <w:rsid w:val="00F966CF"/>
    <w:rsid w:val="00F96CAE"/>
    <w:rsid w:val="00F97C99"/>
    <w:rsid w:val="00FA1848"/>
    <w:rsid w:val="00FA4DAC"/>
    <w:rsid w:val="00FA662D"/>
    <w:rsid w:val="00FA73B1"/>
    <w:rsid w:val="00FA7E3D"/>
    <w:rsid w:val="00FB0CB9"/>
    <w:rsid w:val="00FB231D"/>
    <w:rsid w:val="00FB45F1"/>
    <w:rsid w:val="00FB4A72"/>
    <w:rsid w:val="00FB54E8"/>
    <w:rsid w:val="00FB7054"/>
    <w:rsid w:val="00FC01FE"/>
    <w:rsid w:val="00FC17B7"/>
    <w:rsid w:val="00FC2CB7"/>
    <w:rsid w:val="00FC4090"/>
    <w:rsid w:val="00FC55B4"/>
    <w:rsid w:val="00FD00E6"/>
    <w:rsid w:val="00FD09A1"/>
    <w:rsid w:val="00FD2A7C"/>
    <w:rsid w:val="00FD59EB"/>
    <w:rsid w:val="00FD7299"/>
    <w:rsid w:val="00FE1A83"/>
    <w:rsid w:val="00FE1FBE"/>
    <w:rsid w:val="00FE3901"/>
    <w:rsid w:val="00FE39D3"/>
    <w:rsid w:val="00FE4BCE"/>
    <w:rsid w:val="00FE54AE"/>
    <w:rsid w:val="00FE576A"/>
    <w:rsid w:val="00FE7E79"/>
    <w:rsid w:val="00FF3E7D"/>
    <w:rsid w:val="00FF5B99"/>
    <w:rsid w:val="00FF730C"/>
    <w:rsid w:val="00FF73F4"/>
    <w:rsid w:val="00FF7CE4"/>
    <w:rsid w:val="00FF7E39"/>
    <w:rsid w:val="01B34E22"/>
    <w:rsid w:val="030A488F"/>
    <w:rsid w:val="03F659B8"/>
    <w:rsid w:val="04EE335F"/>
    <w:rsid w:val="04FA4D94"/>
    <w:rsid w:val="07707311"/>
    <w:rsid w:val="08176554"/>
    <w:rsid w:val="08E15D0F"/>
    <w:rsid w:val="0C2D3A23"/>
    <w:rsid w:val="0C5745FC"/>
    <w:rsid w:val="0CB4627B"/>
    <w:rsid w:val="106266C9"/>
    <w:rsid w:val="115B3E4D"/>
    <w:rsid w:val="11A7667C"/>
    <w:rsid w:val="12A3059B"/>
    <w:rsid w:val="13012E87"/>
    <w:rsid w:val="151412DC"/>
    <w:rsid w:val="15307F13"/>
    <w:rsid w:val="183D3240"/>
    <w:rsid w:val="1A3C3108"/>
    <w:rsid w:val="1B746F78"/>
    <w:rsid w:val="1CC47DA2"/>
    <w:rsid w:val="1D297E09"/>
    <w:rsid w:val="1FFC2F87"/>
    <w:rsid w:val="21725D08"/>
    <w:rsid w:val="22205764"/>
    <w:rsid w:val="22350AE4"/>
    <w:rsid w:val="22D367C7"/>
    <w:rsid w:val="24694E3A"/>
    <w:rsid w:val="26C863CA"/>
    <w:rsid w:val="26DF395B"/>
    <w:rsid w:val="270F7DB7"/>
    <w:rsid w:val="283F19C1"/>
    <w:rsid w:val="28447CD2"/>
    <w:rsid w:val="2868453E"/>
    <w:rsid w:val="28A40771"/>
    <w:rsid w:val="2AD57308"/>
    <w:rsid w:val="2B1A44FF"/>
    <w:rsid w:val="2B6279D1"/>
    <w:rsid w:val="2BA939E1"/>
    <w:rsid w:val="2C0954BB"/>
    <w:rsid w:val="2C6316BC"/>
    <w:rsid w:val="2CB85E0F"/>
    <w:rsid w:val="30073ABF"/>
    <w:rsid w:val="307B5C77"/>
    <w:rsid w:val="31DE2445"/>
    <w:rsid w:val="31FF1277"/>
    <w:rsid w:val="32FC5E3D"/>
    <w:rsid w:val="338B4A07"/>
    <w:rsid w:val="34890734"/>
    <w:rsid w:val="35CB558F"/>
    <w:rsid w:val="3608233F"/>
    <w:rsid w:val="374C0952"/>
    <w:rsid w:val="37E45562"/>
    <w:rsid w:val="39F054BC"/>
    <w:rsid w:val="3CF4361D"/>
    <w:rsid w:val="3D1D0DC6"/>
    <w:rsid w:val="3EC55271"/>
    <w:rsid w:val="3ECF404C"/>
    <w:rsid w:val="3F0777D7"/>
    <w:rsid w:val="42385D43"/>
    <w:rsid w:val="437D25BE"/>
    <w:rsid w:val="44366C11"/>
    <w:rsid w:val="447F4128"/>
    <w:rsid w:val="448160DE"/>
    <w:rsid w:val="44B85878"/>
    <w:rsid w:val="48426C7E"/>
    <w:rsid w:val="489B7043"/>
    <w:rsid w:val="49E4763B"/>
    <w:rsid w:val="4FE37C4D"/>
    <w:rsid w:val="50E14D74"/>
    <w:rsid w:val="52214363"/>
    <w:rsid w:val="536714D0"/>
    <w:rsid w:val="54662BFB"/>
    <w:rsid w:val="57B4613C"/>
    <w:rsid w:val="57CF711F"/>
    <w:rsid w:val="57D628B9"/>
    <w:rsid w:val="580746F5"/>
    <w:rsid w:val="5B6070C0"/>
    <w:rsid w:val="5C71038F"/>
    <w:rsid w:val="5DB378D1"/>
    <w:rsid w:val="5EB87851"/>
    <w:rsid w:val="5F5111EC"/>
    <w:rsid w:val="60AD570E"/>
    <w:rsid w:val="60BD1DF5"/>
    <w:rsid w:val="61385CB1"/>
    <w:rsid w:val="613E21DF"/>
    <w:rsid w:val="61F555BE"/>
    <w:rsid w:val="621474D5"/>
    <w:rsid w:val="63C27722"/>
    <w:rsid w:val="64A15589"/>
    <w:rsid w:val="65312DB1"/>
    <w:rsid w:val="69577978"/>
    <w:rsid w:val="6C3B62C3"/>
    <w:rsid w:val="6D3149C7"/>
    <w:rsid w:val="6D6A0E11"/>
    <w:rsid w:val="6EFF28A8"/>
    <w:rsid w:val="70C821CB"/>
    <w:rsid w:val="71763B56"/>
    <w:rsid w:val="71A62431"/>
    <w:rsid w:val="71BB06BA"/>
    <w:rsid w:val="71CD79BE"/>
    <w:rsid w:val="73C31BFC"/>
    <w:rsid w:val="74D71064"/>
    <w:rsid w:val="75124DA1"/>
    <w:rsid w:val="76984A3E"/>
    <w:rsid w:val="76A35CA9"/>
    <w:rsid w:val="77E45A61"/>
    <w:rsid w:val="79894482"/>
    <w:rsid w:val="7BB76FD1"/>
    <w:rsid w:val="7D025527"/>
    <w:rsid w:val="7E693BA0"/>
    <w:rsid w:val="7F14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1"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1"/>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1"/>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1"/>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adjustRightInd/>
      <w:spacing w:line="240" w:lineRule="auto"/>
    </w:pPr>
    <w:rPr>
      <w:sz w:val="24"/>
      <w:szCs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rFonts w:ascii="Times New Roman" w:hAnsi="Times New Roman" w:eastAsia="宋体" w:cs="Times New Roman"/>
      <w:b/>
      <w:bCs/>
      <w:kern w:val="44"/>
      <w:sz w:val="44"/>
      <w:szCs w:val="44"/>
    </w:rPr>
  </w:style>
  <w:style w:type="character" w:customStyle="1" w:styleId="36">
    <w:name w:val="标题 2 字符"/>
    <w:link w:val="3"/>
    <w:autoRedefine/>
    <w:qFormat/>
    <w:uiPriority w:val="1"/>
    <w:rPr>
      <w:rFonts w:ascii="Arial" w:hAnsi="Arial" w:eastAsia="黑体" w:cs="Times New Roman"/>
      <w:b/>
      <w:bCs/>
      <w:sz w:val="32"/>
      <w:szCs w:val="32"/>
    </w:rPr>
  </w:style>
  <w:style w:type="character" w:customStyle="1" w:styleId="37">
    <w:name w:val="标题 3 字符"/>
    <w:link w:val="4"/>
    <w:autoRedefine/>
    <w:qFormat/>
    <w:uiPriority w:val="0"/>
    <w:rPr>
      <w:rFonts w:ascii="Times New Roman" w:hAnsi="Times New Roman" w:eastAsia="宋体" w:cs="Times New Roman"/>
      <w:b/>
      <w:bCs/>
      <w:sz w:val="32"/>
      <w:szCs w:val="32"/>
    </w:rPr>
  </w:style>
  <w:style w:type="character" w:customStyle="1" w:styleId="38">
    <w:name w:val="标题 4 字符"/>
    <w:link w:val="5"/>
    <w:autoRedefine/>
    <w:qFormat/>
    <w:uiPriority w:val="1"/>
    <w:rPr>
      <w:rFonts w:ascii="Arial" w:hAnsi="Arial" w:eastAsia="黑体" w:cs="Times New Roman"/>
      <w:b/>
      <w:bCs/>
      <w:sz w:val="28"/>
      <w:szCs w:val="28"/>
    </w:rPr>
  </w:style>
  <w:style w:type="character" w:customStyle="1" w:styleId="39">
    <w:name w:val="标题 5 字符"/>
    <w:link w:val="6"/>
    <w:autoRedefine/>
    <w:qFormat/>
    <w:uiPriority w:val="0"/>
    <w:rPr>
      <w:rFonts w:ascii="Times New Roman" w:hAnsi="Times New Roman" w:eastAsia="宋体" w:cs="Times New Roman"/>
      <w:b/>
      <w:bCs/>
      <w:sz w:val="28"/>
      <w:szCs w:val="28"/>
    </w:rPr>
  </w:style>
  <w:style w:type="character" w:customStyle="1" w:styleId="40">
    <w:name w:val="标题 6 字符"/>
    <w:link w:val="7"/>
    <w:autoRedefine/>
    <w:qFormat/>
    <w:uiPriority w:val="0"/>
    <w:rPr>
      <w:rFonts w:ascii="Arial" w:hAnsi="Arial" w:eastAsia="黑体" w:cs="Times New Roman"/>
      <w:b/>
      <w:bCs/>
      <w:sz w:val="24"/>
      <w:szCs w:val="24"/>
    </w:rPr>
  </w:style>
  <w:style w:type="character" w:customStyle="1" w:styleId="41">
    <w:name w:val="标题 7 字符"/>
    <w:link w:val="8"/>
    <w:autoRedefine/>
    <w:qFormat/>
    <w:uiPriority w:val="0"/>
    <w:rPr>
      <w:rFonts w:ascii="Times New Roman" w:hAnsi="Times New Roman" w:eastAsia="宋体" w:cs="Times New Roman"/>
      <w:b/>
      <w:bCs/>
      <w:sz w:val="24"/>
      <w:szCs w:val="24"/>
    </w:rPr>
  </w:style>
  <w:style w:type="character" w:customStyle="1" w:styleId="42">
    <w:name w:val="标题 8 字符"/>
    <w:link w:val="9"/>
    <w:autoRedefine/>
    <w:qFormat/>
    <w:uiPriority w:val="0"/>
    <w:rPr>
      <w:rFonts w:ascii="Arial" w:hAnsi="Arial" w:eastAsia="黑体" w:cs="Times New Roman"/>
      <w:sz w:val="24"/>
      <w:szCs w:val="24"/>
    </w:rPr>
  </w:style>
  <w:style w:type="character" w:customStyle="1" w:styleId="43">
    <w:name w:val="标题 9 字符"/>
    <w:link w:val="10"/>
    <w:autoRedefine/>
    <w:qFormat/>
    <w:uiPriority w:val="0"/>
    <w:rPr>
      <w:rFonts w:ascii="Arial" w:hAnsi="Arial" w:eastAsia="黑体" w:cs="Times New Roman"/>
      <w:szCs w:val="21"/>
    </w:rPr>
  </w:style>
  <w:style w:type="character" w:customStyle="1" w:styleId="44">
    <w:name w:val="页眉 字符"/>
    <w:link w:val="18"/>
    <w:autoRedefine/>
    <w:qFormat/>
    <w:uiPriority w:val="99"/>
    <w:rPr>
      <w:rFonts w:ascii="Times New Roman" w:hAnsi="Times New Roman" w:eastAsia="宋体" w:cs="Times New Roman"/>
      <w:sz w:val="18"/>
      <w:szCs w:val="18"/>
    </w:rPr>
  </w:style>
  <w:style w:type="character" w:customStyle="1" w:styleId="45">
    <w:name w:val="页脚 字符"/>
    <w:link w:val="17"/>
    <w:autoRedefine/>
    <w:qFormat/>
    <w:uiPriority w:val="99"/>
    <w:rPr>
      <w:rFonts w:ascii="宋体" w:hAnsi="Times New Roman" w:eastAsia="宋体" w:cs="Times New Roman"/>
      <w:sz w:val="18"/>
      <w:szCs w:val="18"/>
    </w:rPr>
  </w:style>
  <w:style w:type="character" w:customStyle="1" w:styleId="46">
    <w:name w:val="批注框文本 字符"/>
    <w:link w:val="16"/>
    <w:autoRedefine/>
    <w:semiHidden/>
    <w:qFormat/>
    <w:uiPriority w:val="99"/>
    <w:rPr>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rPr>
  </w:style>
  <w:style w:type="character" w:customStyle="1" w:styleId="49">
    <w:name w:val="标题 字符"/>
    <w:link w:val="26"/>
    <w:autoRedefine/>
    <w:qFormat/>
    <w:uiPriority w:val="0"/>
    <w:rPr>
      <w:rFonts w:ascii="Arial" w:hAnsi="Arial" w:eastAsia="宋体" w:cs="Arial"/>
      <w:b/>
      <w:bCs/>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ind w:left="0"/>
      <w:jc w:val="both"/>
      <w:outlineLvl w:val="2"/>
    </w:pPr>
    <w:rPr>
      <w:rFonts w:ascii="黑体" w:hAnsi="黑体"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1"/>
    <w:rPr>
      <w:rFonts w:ascii="Times New Roman" w:hAnsi="Times New Roman" w:eastAsia="宋体" w:cs="Times New Roman"/>
      <w:szCs w:val="20"/>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pPr>
  </w:style>
  <w:style w:type="paragraph" w:customStyle="1" w:styleId="92">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ind w:left="0" w:firstLine="200"/>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hAnsi="Times New Roman" w:eastAsia="宋体" w:cs="Times New Roman"/>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hAns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left="1271" w:hanging="420" w:firstLineChars="0"/>
    </w:pPr>
  </w:style>
  <w:style w:type="paragraph" w:customStyle="1" w:styleId="189">
    <w:name w:val="标准文件_三级项2"/>
    <w:basedOn w:val="57"/>
    <w:autoRedefine/>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styleId="231">
    <w:name w:val="List Paragraph"/>
    <w:basedOn w:val="1"/>
    <w:autoRedefine/>
    <w:qFormat/>
    <w:uiPriority w:val="1"/>
    <w:pPr>
      <w:spacing w:before="161"/>
      <w:ind w:left="1622" w:hanging="601"/>
    </w:pPr>
    <w:rPr>
      <w:rFonts w:ascii="宋体" w:hAnsi="宋体" w:cs="宋体"/>
      <w:lang w:eastAsia="en-US" w:bidi="en-US"/>
    </w:rPr>
  </w:style>
  <w:style w:type="paragraph" w:customStyle="1" w:styleId="232">
    <w:name w:val="AMDisplayEquation"/>
    <w:basedOn w:val="1"/>
    <w:next w:val="1"/>
    <w:autoRedefine/>
    <w:qFormat/>
    <w:uiPriority w:val="0"/>
    <w:pPr>
      <w:adjustRightInd/>
      <w:spacing w:line="360" w:lineRule="auto"/>
      <w:ind w:left="7042"/>
      <w:jc w:val="left"/>
    </w:pPr>
    <w:rPr>
      <w:rFonts w:ascii="Cambria Math" w:hAnsi="Cambria Math"/>
      <w:i/>
      <w:sz w:val="28"/>
      <w:szCs w:val="28"/>
    </w:rPr>
  </w:style>
  <w:style w:type="character" w:customStyle="1" w:styleId="233">
    <w:name w:val="AMEquationSection"/>
    <w:autoRedefine/>
    <w:qFormat/>
    <w:uiPriority w:val="0"/>
    <w:rPr>
      <w:vanish/>
      <w:color w:val="FF0000"/>
    </w:rPr>
  </w:style>
  <w:style w:type="paragraph" w:customStyle="1" w:styleId="234">
    <w:name w:val="Table Paragraph"/>
    <w:basedOn w:val="1"/>
    <w:autoRedefine/>
    <w:qFormat/>
    <w:uiPriority w:val="1"/>
    <w:pPr>
      <w:autoSpaceDE w:val="0"/>
      <w:autoSpaceDN w:val="0"/>
      <w:adjustRightInd/>
      <w:spacing w:line="240" w:lineRule="auto"/>
      <w:jc w:val="left"/>
    </w:pPr>
    <w:rPr>
      <w:rFonts w:ascii="宋体" w:hAnsi="宋体" w:cs="宋体"/>
      <w:kern w:val="0"/>
      <w:sz w:val="22"/>
      <w:szCs w:val="22"/>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glossaryDocument" Target="glossary/document.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15.jpeg"/><Relationship Id="rId43" Type="http://schemas.openxmlformats.org/officeDocument/2006/relationships/image" Target="media/image14.wmf"/><Relationship Id="rId42" Type="http://schemas.openxmlformats.org/officeDocument/2006/relationships/oleObject" Target="embeddings/oleObject13.bin"/><Relationship Id="rId41" Type="http://schemas.openxmlformats.org/officeDocument/2006/relationships/image" Target="media/image13.wmf"/><Relationship Id="rId40" Type="http://schemas.openxmlformats.org/officeDocument/2006/relationships/oleObject" Target="embeddings/oleObject12.bin"/><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11.bin"/><Relationship Id="rId37" Type="http://schemas.openxmlformats.org/officeDocument/2006/relationships/image" Target="media/image11.wmf"/><Relationship Id="rId36" Type="http://schemas.openxmlformats.org/officeDocument/2006/relationships/oleObject" Target="embeddings/oleObject10.bin"/><Relationship Id="rId35" Type="http://schemas.openxmlformats.org/officeDocument/2006/relationships/image" Target="media/image10.wmf"/><Relationship Id="rId34" Type="http://schemas.openxmlformats.org/officeDocument/2006/relationships/oleObject" Target="embeddings/oleObject9.bin"/><Relationship Id="rId33" Type="http://schemas.openxmlformats.org/officeDocument/2006/relationships/image" Target="media/image9.wmf"/><Relationship Id="rId32" Type="http://schemas.openxmlformats.org/officeDocument/2006/relationships/oleObject" Target="embeddings/oleObject8.bin"/><Relationship Id="rId31" Type="http://schemas.openxmlformats.org/officeDocument/2006/relationships/image" Target="media/image8.wmf"/><Relationship Id="rId30" Type="http://schemas.openxmlformats.org/officeDocument/2006/relationships/oleObject" Target="embeddings/oleObject7.bin"/><Relationship Id="rId3" Type="http://schemas.openxmlformats.org/officeDocument/2006/relationships/footnotes" Target="footnotes.xml"/><Relationship Id="rId29" Type="http://schemas.openxmlformats.org/officeDocument/2006/relationships/image" Target="media/image7.wmf"/><Relationship Id="rId28" Type="http://schemas.openxmlformats.org/officeDocument/2006/relationships/oleObject" Target="embeddings/oleObject6.bin"/><Relationship Id="rId27" Type="http://schemas.openxmlformats.org/officeDocument/2006/relationships/image" Target="media/image6.wmf"/><Relationship Id="rId26" Type="http://schemas.openxmlformats.org/officeDocument/2006/relationships/oleObject" Target="embeddings/oleObject5.bin"/><Relationship Id="rId25" Type="http://schemas.openxmlformats.org/officeDocument/2006/relationships/image" Target="media/image5.wmf"/><Relationship Id="rId24" Type="http://schemas.openxmlformats.org/officeDocument/2006/relationships/oleObject" Target="embeddings/oleObject4.bin"/><Relationship Id="rId23" Type="http://schemas.openxmlformats.org/officeDocument/2006/relationships/image" Target="media/image4.wmf"/><Relationship Id="rId22" Type="http://schemas.openxmlformats.org/officeDocument/2006/relationships/oleObject" Target="embeddings/oleObject3.bin"/><Relationship Id="rId21" Type="http://schemas.openxmlformats.org/officeDocument/2006/relationships/image" Target="media/image3.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1.bin"/><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1f7ad7a-9f4d-4302-8d6d-8c212cf399ac}"/>
        <w:style w:val=""/>
        <w:category>
          <w:name w:val="常规"/>
          <w:gallery w:val="placeholder"/>
        </w:category>
        <w:types>
          <w:type w:val="bbPlcHdr"/>
        </w:types>
        <w:behaviors>
          <w:behavior w:val="content"/>
        </w:behaviors>
        <w:description w:val=""/>
        <w:guid w:val="{f1f7ad7a-9f4d-4302-8d6d-8c212cf399ac}"/>
      </w:docPartPr>
      <w:docPartBody>
        <w:p w14:paraId="4AD84942">
          <w:pPr>
            <w:pStyle w:val="5"/>
            <w:rPr>
              <w:rFonts w:hint="eastAsia"/>
            </w:rPr>
          </w:pPr>
          <w:r>
            <w:rPr>
              <w:rStyle w:val="4"/>
              <w:rFonts w:hint="eastAsia"/>
            </w:rPr>
            <w:t>单击或点击此处输入文字。</w:t>
          </w:r>
        </w:p>
      </w:docPartBody>
    </w:docPart>
    <w:docPart>
      <w:docPartPr>
        <w:name w:val="{13f262c6-d914-40ee-9bf9-ad940551f2b1}"/>
        <w:style w:val=""/>
        <w:category>
          <w:name w:val="常规"/>
          <w:gallery w:val="placeholder"/>
        </w:category>
        <w:types>
          <w:type w:val="bbPlcHdr"/>
        </w:types>
        <w:behaviors>
          <w:behavior w:val="content"/>
        </w:behaviors>
        <w:description w:val=""/>
        <w:guid w:val="{13f262c6-d914-40ee-9bf9-ad940551f2b1}"/>
      </w:docPartPr>
      <w:docPartBody>
        <w:p w14:paraId="366063CE">
          <w:pPr>
            <w:pStyle w:val="6"/>
            <w:rPr>
              <w:rFonts w:hint="eastAsia"/>
            </w:rPr>
          </w:pPr>
          <w:r>
            <w:rPr>
              <w:rStyle w:val="4"/>
              <w:rFonts w:hint="eastAsia"/>
            </w:rPr>
            <w:t>选择一项。</w:t>
          </w:r>
        </w:p>
      </w:docPartBody>
    </w:docPart>
    <w:docPart>
      <w:docPartPr>
        <w:name w:val="{079f676f-9f23-4581-81db-8ca2a95fb877}"/>
        <w:style w:val=""/>
        <w:category>
          <w:name w:val="常规"/>
          <w:gallery w:val="placeholder"/>
        </w:category>
        <w:types>
          <w:type w:val="bbPlcHdr"/>
        </w:types>
        <w:behaviors>
          <w:behavior w:val="content"/>
        </w:behaviors>
        <w:description w:val=""/>
        <w:guid w:val="{079f676f-9f23-4581-81db-8ca2a95fb877}"/>
      </w:docPartPr>
      <w:docPartBody>
        <w:p w14:paraId="0B6FDE1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AE9"/>
    <w:rsid w:val="00044199"/>
    <w:rsid w:val="000600E6"/>
    <w:rsid w:val="00165F15"/>
    <w:rsid w:val="001D11BB"/>
    <w:rsid w:val="002964A9"/>
    <w:rsid w:val="00310620"/>
    <w:rsid w:val="003E5AE9"/>
    <w:rsid w:val="00660FA0"/>
    <w:rsid w:val="00B26895"/>
    <w:rsid w:val="00B604D2"/>
    <w:rsid w:val="00BD061A"/>
    <w:rsid w:val="00C52067"/>
    <w:rsid w:val="00C85B96"/>
    <w:rsid w:val="00E07CF6"/>
    <w:rsid w:val="00E20DE0"/>
    <w:rsid w:val="00E642A4"/>
    <w:rsid w:val="00EB21A1"/>
    <w:rsid w:val="00EE3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21382BEB6334716A3C4C81BC1FFB30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210F4A9D9514149AC47FA0AB2C24B4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6C04ECD658C4D36A0E55EFDD044BEC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6493</Words>
  <Characters>7263</Characters>
  <Lines>95</Lines>
  <Paragraphs>26</Paragraphs>
  <TotalTime>0</TotalTime>
  <ScaleCrop>false</ScaleCrop>
  <LinksUpToDate>false</LinksUpToDate>
  <CharactersWithSpaces>7621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2021-09-22T06:17:00Z</dcterms:created>
  <dc:creator>李琰</dc:creator>
  <dc:description>&lt;config cover="true" show_menu="true" version="1.0.0" doctype="SDKXY"&gt;_x000d_
&lt;/config&gt;</dc:description>
  <cp:lastModifiedBy>牛磊</cp:lastModifiedBy>
  <cp:lastPrinted>2020-08-30T10:00:00Z</cp:lastPrinted>
  <dcterms:modified xsi:type="dcterms:W3CDTF">2025-06-26T01:50:41Z</dcterms:modified>
  <dc:title>地方标准</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92D9A88C059E40AEA49D3143253AF519_13</vt:lpwstr>
  </property>
  <property fmtid="{D5CDD505-2E9C-101B-9397-08002B2CF9AE}" pid="16" name="AMEquationSection">
    <vt:lpwstr>1</vt:lpwstr>
  </property>
  <property fmtid="{D5CDD505-2E9C-101B-9397-08002B2CF9AE}" pid="17" name="AMEquationNumber2">
    <vt:lpwstr>(#E1)</vt:lpwstr>
  </property>
  <property fmtid="{D5CDD505-2E9C-101B-9397-08002B2CF9AE}" pid="18" name="AMCustomEquationNumber">
    <vt:lpwstr>1</vt:lpwstr>
  </property>
  <property fmtid="{D5CDD505-2E9C-101B-9397-08002B2CF9AE}" pid="19" name="AMDeferFieldUpdate">
    <vt:lpwstr>1</vt:lpwstr>
  </property>
  <property fmtid="{D5CDD505-2E9C-101B-9397-08002B2CF9AE}" pid="20" name="KSOTemplateDocerSaveRecord">
    <vt:lpwstr>eyJoZGlkIjoiZTg0NTI2ZDEwNWFlNjhkMjRkZmQwMjZhMjg1NTBiMGMiLCJ1c2VySWQiOiI1NjU0NjAifQ==</vt:lpwstr>
  </property>
  <property fmtid="{D5CDD505-2E9C-101B-9397-08002B2CF9AE}" pid="21" name="AMWinEqns">
    <vt:bool>true</vt:bool>
  </property>
</Properties>
</file>